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Toc26019755"/>
      <w:r>
        <w:rPr>
          <w:rFonts w:hint="eastAsia"/>
        </w:rPr>
        <w:t>电子开标系统</w:t>
      </w:r>
      <w:bookmarkEnd w:id="0"/>
    </w:p>
    <w:p>
      <w:pPr>
        <w:pStyle w:val="3"/>
        <w:widowControl/>
        <w:spacing w:line="416" w:lineRule="auto"/>
        <w:ind w:left="576" w:hanging="576"/>
        <w:jc w:val="left"/>
      </w:pPr>
      <w:bookmarkStart w:id="1" w:name="_Toc24297452"/>
      <w:bookmarkStart w:id="2" w:name="_Toc24297145"/>
      <w:bookmarkStart w:id="3" w:name="_Toc26019756"/>
      <w:r>
        <w:rPr>
          <w:rFonts w:hint="eastAsia"/>
        </w:rPr>
        <w:t>系统登录</w:t>
      </w:r>
      <w:bookmarkEnd w:id="1"/>
      <w:bookmarkEnd w:id="2"/>
      <w:bookmarkEnd w:id="3"/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开标系统登录可使用</w:t>
      </w:r>
      <w:r>
        <w:rPr>
          <w:rFonts w:ascii="宋体" w:hAnsi="宋体"/>
          <w:sz w:val="28"/>
          <w:szCs w:val="28"/>
        </w:rPr>
        <w:t>CA锁登录</w:t>
      </w:r>
      <w:r>
        <w:rPr>
          <w:rFonts w:hint="eastAsia" w:ascii="宋体" w:hAnsi="宋体"/>
          <w:sz w:val="28"/>
          <w:szCs w:val="28"/>
        </w:rPr>
        <w:t>和</w:t>
      </w:r>
      <w:r>
        <w:rPr>
          <w:rFonts w:ascii="宋体" w:hAnsi="宋体"/>
          <w:sz w:val="28"/>
          <w:szCs w:val="28"/>
        </w:rPr>
        <w:t>用户名</w:t>
      </w:r>
      <w:r>
        <w:rPr>
          <w:rFonts w:hint="eastAsia" w:ascii="宋体" w:hAnsi="宋体"/>
          <w:sz w:val="28"/>
          <w:szCs w:val="28"/>
        </w:rPr>
        <w:t>加</w:t>
      </w:r>
      <w:r>
        <w:rPr>
          <w:rFonts w:ascii="宋体" w:hAnsi="宋体"/>
          <w:sz w:val="28"/>
          <w:szCs w:val="28"/>
        </w:rPr>
        <w:t>密码</w:t>
      </w:r>
      <w:r>
        <w:rPr>
          <w:rFonts w:hint="eastAsia" w:ascii="宋体" w:hAnsi="宋体"/>
          <w:sz w:val="28"/>
          <w:szCs w:val="28"/>
        </w:rPr>
        <w:t>登录两种方式登录。</w:t>
      </w: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CA锁登录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ascii="宋体" w:hAnsi="宋体"/>
          <w:sz w:val="28"/>
          <w:szCs w:val="28"/>
        </w:rPr>
        <w:t>插入锁读取成功后，</w:t>
      </w:r>
      <w:r>
        <w:rPr>
          <w:rFonts w:hint="eastAsia" w:ascii="宋体" w:hAnsi="宋体"/>
          <w:sz w:val="28"/>
          <w:szCs w:val="28"/>
        </w:rPr>
        <w:t>输入</w:t>
      </w:r>
      <w:r>
        <w:rPr>
          <w:rFonts w:ascii="宋体" w:hAnsi="宋体"/>
          <w:sz w:val="28"/>
          <w:szCs w:val="28"/>
        </w:rPr>
        <w:t>锁密码，</w:t>
      </w:r>
      <w:r>
        <w:rPr>
          <w:rFonts w:hint="eastAsia" w:ascii="宋体" w:hAnsi="宋体"/>
          <w:sz w:val="28"/>
          <w:szCs w:val="28"/>
        </w:rPr>
        <w:t>点击登录按钮即可登陆系统。如下图：</w:t>
      </w:r>
    </w:p>
    <w:p>
      <w:pPr>
        <w:pStyle w:val="30"/>
        <w:ind w:left="2" w:firstLine="0" w:firstLineChars="0"/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4204970" cy="2355850"/>
            <wp:effectExtent l="0" t="0" r="1143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  <w:r>
        <w:t>CA</w:t>
      </w:r>
      <w:r>
        <w:rPr>
          <w:rFonts w:hint="eastAsia"/>
        </w:rPr>
        <w:t>锁登录</w:t>
      </w:r>
    </w:p>
    <w:p>
      <w:pPr>
        <w:pStyle w:val="3"/>
        <w:widowControl/>
        <w:spacing w:line="416" w:lineRule="auto"/>
        <w:ind w:left="576" w:hanging="576"/>
        <w:jc w:val="left"/>
      </w:pPr>
      <w:bookmarkStart w:id="4" w:name="_Toc24297453"/>
      <w:bookmarkStart w:id="5" w:name="_Toc24297146"/>
      <w:bookmarkStart w:id="6" w:name="_Toc402982932"/>
      <w:bookmarkStart w:id="7" w:name="_Toc498093348"/>
      <w:bookmarkStart w:id="8" w:name="_Toc26019757"/>
      <w:r>
        <w:rPr>
          <w:rFonts w:hint="eastAsia"/>
        </w:rPr>
        <w:t>获取开标项目</w:t>
      </w:r>
      <w:bookmarkEnd w:id="4"/>
      <w:bookmarkEnd w:id="5"/>
      <w:bookmarkEnd w:id="6"/>
      <w:bookmarkEnd w:id="7"/>
      <w:bookmarkEnd w:id="8"/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成功登录系统后，进入到项目管理界面，界面中会自动显示出当天要开标的项目，点击【进入】按钮即可以进入到开标主流程页面。如下图：</w:t>
      </w:r>
    </w:p>
    <w:p>
      <w:pPr>
        <w:spacing w:line="360" w:lineRule="auto"/>
        <w:ind w:firstLine="0" w:firstLineChars="0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4207510" cy="1869440"/>
            <wp:effectExtent l="0" t="0" r="8890" b="1016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  <w:r>
        <w:rPr>
          <w:rFonts w:hint="eastAsia"/>
        </w:rPr>
        <w:t>获取开标项目</w:t>
      </w:r>
    </w:p>
    <w:p>
      <w:pPr>
        <w:pStyle w:val="3"/>
        <w:widowControl/>
        <w:spacing w:line="416" w:lineRule="auto"/>
        <w:ind w:left="576" w:hanging="576"/>
        <w:jc w:val="left"/>
      </w:pPr>
      <w:bookmarkStart w:id="9" w:name="_Toc24636730"/>
      <w:bookmarkEnd w:id="9"/>
      <w:bookmarkStart w:id="10" w:name="_Toc26019758"/>
      <w:bookmarkEnd w:id="10"/>
      <w:bookmarkStart w:id="11" w:name="_Toc24297455"/>
      <w:bookmarkStart w:id="12" w:name="_Toc24297148"/>
      <w:bookmarkStart w:id="13" w:name="_Toc26019760"/>
      <w:r>
        <w:rPr>
          <w:rFonts w:hint="eastAsia"/>
        </w:rPr>
        <w:t>开标倒计时</w:t>
      </w:r>
      <w:bookmarkEnd w:id="11"/>
      <w:bookmarkEnd w:id="12"/>
      <w:bookmarkEnd w:id="13"/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在开标时间未到达之前，界面上显示开标倒计时剩余时间。如下图：</w:t>
      </w:r>
    </w:p>
    <w:p>
      <w:pPr>
        <w:widowControl/>
        <w:ind w:firstLine="0" w:firstLineChars="0"/>
        <w:jc w:val="left"/>
        <w:rPr>
          <w:rFonts w:ascii="宋体" w:hAnsi="宋体" w:cstheme="minorBidi"/>
          <w:szCs w:val="22"/>
        </w:rPr>
      </w:pPr>
      <w:r>
        <w:drawing>
          <wp:inline distT="0" distB="0" distL="114300" distR="114300">
            <wp:extent cx="4199890" cy="1877060"/>
            <wp:effectExtent l="0" t="0" r="3810" b="254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line="416" w:lineRule="auto"/>
        <w:ind w:left="576" w:hanging="576"/>
        <w:jc w:val="left"/>
      </w:pPr>
      <w:r>
        <w:rPr>
          <w:rFonts w:hint="eastAsia"/>
        </w:rPr>
        <w:t>公布投标人名单</w:t>
      </w:r>
    </w:p>
    <w:p>
      <w:pPr>
        <w:spacing w:line="360" w:lineRule="auto"/>
        <w:ind w:firstLine="560"/>
        <w:rPr>
          <w:rFonts w:ascii="宋体" w:hAnsi="宋体" w:cstheme="minorBidi"/>
          <w:szCs w:val="22"/>
        </w:rPr>
      </w:pPr>
      <w:r>
        <w:rPr>
          <w:rFonts w:hint="eastAsia" w:ascii="宋体" w:hAnsi="宋体"/>
          <w:sz w:val="28"/>
          <w:szCs w:val="28"/>
        </w:rPr>
        <w:t>公布投标人名单，数据会从交易平台同步过来，如有异议，可以修改会做备注。如下图：</w:t>
      </w:r>
    </w:p>
    <w:p>
      <w:pPr>
        <w:widowControl/>
        <w:ind w:firstLine="0" w:firstLineChars="0"/>
        <w:jc w:val="left"/>
        <w:rPr>
          <w:rFonts w:ascii="宋体" w:hAnsi="宋体" w:cstheme="minorBidi"/>
          <w:szCs w:val="22"/>
        </w:rPr>
      </w:pPr>
      <w:r>
        <w:drawing>
          <wp:inline distT="0" distB="0" distL="114300" distR="114300">
            <wp:extent cx="4207510" cy="1546860"/>
            <wp:effectExtent l="0" t="0" r="8890" b="25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rPr>
          <w:rFonts w:ascii="宋体" w:hAnsi="宋体"/>
          <w:sz w:val="28"/>
          <w:szCs w:val="28"/>
        </w:rPr>
      </w:pPr>
    </w:p>
    <w:p>
      <w:pPr>
        <w:pStyle w:val="3"/>
        <w:widowControl/>
        <w:spacing w:line="416" w:lineRule="auto"/>
        <w:ind w:left="576" w:hanging="576"/>
        <w:jc w:val="left"/>
      </w:pPr>
      <w:r>
        <w:rPr>
          <w:rFonts w:hint="eastAsia"/>
        </w:rPr>
        <w:t>解密</w:t>
      </w: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展示各投标单位</w:t>
      </w:r>
      <w:r>
        <w:rPr>
          <w:rFonts w:hint="eastAsia" w:ascii="宋体" w:hAnsi="宋体"/>
          <w:sz w:val="28"/>
          <w:szCs w:val="28"/>
        </w:rPr>
        <w:t>投标文件同步情况。由投标人现场</w:t>
      </w:r>
      <w:r>
        <w:rPr>
          <w:rFonts w:ascii="宋体" w:hAnsi="宋体"/>
          <w:sz w:val="28"/>
          <w:szCs w:val="28"/>
        </w:rPr>
        <w:t>用ca锁解密投标文件</w:t>
      </w:r>
      <w:r>
        <w:rPr>
          <w:rFonts w:hint="eastAsia" w:ascii="宋体" w:hAnsi="宋体"/>
          <w:sz w:val="28"/>
          <w:szCs w:val="28"/>
        </w:rPr>
        <w:t>。如下图：</w:t>
      </w:r>
    </w:p>
    <w:p>
      <w:pPr>
        <w:ind w:firstLine="0" w:firstLineChars="0"/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4207510" cy="1816735"/>
            <wp:effectExtent l="0" t="0" r="8890" b="1206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  <w:r>
        <w:rPr>
          <w:rFonts w:hint="eastAsia"/>
        </w:rPr>
        <w:t>解密</w:t>
      </w:r>
    </w:p>
    <w:p>
      <w:pPr>
        <w:pStyle w:val="3"/>
        <w:widowControl/>
        <w:spacing w:line="416" w:lineRule="auto"/>
        <w:ind w:left="576" w:hanging="576"/>
        <w:jc w:val="left"/>
      </w:pPr>
      <w:r>
        <w:rPr>
          <w:rFonts w:hint="eastAsia"/>
        </w:rPr>
        <w:t>唱标</w:t>
      </w: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投标人的</w:t>
      </w:r>
      <w:r>
        <w:rPr>
          <w:rFonts w:ascii="宋体" w:hAnsi="宋体"/>
          <w:sz w:val="28"/>
          <w:szCs w:val="28"/>
        </w:rPr>
        <w:t>投标报价，质量标准，</w:t>
      </w:r>
      <w:r>
        <w:rPr>
          <w:rFonts w:hint="eastAsia" w:ascii="宋体" w:hAnsi="宋体"/>
          <w:sz w:val="28"/>
          <w:szCs w:val="28"/>
        </w:rPr>
        <w:t>工期</w:t>
      </w:r>
      <w:r>
        <w:rPr>
          <w:rFonts w:ascii="宋体" w:hAnsi="宋体"/>
          <w:sz w:val="28"/>
          <w:szCs w:val="28"/>
        </w:rPr>
        <w:t>等开标信息都</w:t>
      </w:r>
      <w:r>
        <w:rPr>
          <w:rFonts w:hint="eastAsia" w:ascii="宋体" w:hAnsi="宋体"/>
          <w:sz w:val="28"/>
          <w:szCs w:val="28"/>
        </w:rPr>
        <w:t>由</w:t>
      </w:r>
      <w:r>
        <w:rPr>
          <w:rFonts w:ascii="宋体" w:hAnsi="宋体"/>
          <w:sz w:val="28"/>
          <w:szCs w:val="28"/>
        </w:rPr>
        <w:t>招标文件中读取</w:t>
      </w:r>
      <w:r>
        <w:rPr>
          <w:rFonts w:hint="eastAsia" w:ascii="宋体" w:hAnsi="宋体"/>
          <w:sz w:val="28"/>
          <w:szCs w:val="28"/>
        </w:rPr>
        <w:t>。如下图：</w:t>
      </w:r>
    </w:p>
    <w:p>
      <w:pPr>
        <w:spacing w:line="360" w:lineRule="auto"/>
        <w:ind w:firstLine="0" w:firstLineChars="0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4203065" cy="1948815"/>
            <wp:effectExtent l="0" t="0" r="635" b="698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3"/>
        <w:widowControl/>
        <w:spacing w:line="416" w:lineRule="auto"/>
        <w:ind w:left="576" w:hanging="576"/>
        <w:jc w:val="left"/>
      </w:pPr>
      <w:bookmarkStart w:id="14" w:name="_Toc402982947"/>
      <w:bookmarkStart w:id="15" w:name="_Toc24297459"/>
      <w:bookmarkStart w:id="16" w:name="_Toc24297152"/>
      <w:bookmarkStart w:id="17" w:name="_Toc26019764"/>
      <w:bookmarkStart w:id="18" w:name="_Toc498093353"/>
      <w:r>
        <w:rPr>
          <w:rFonts w:hint="eastAsia"/>
        </w:rPr>
        <w:t>开标</w:t>
      </w:r>
      <w:bookmarkEnd w:id="14"/>
      <w:r>
        <w:rPr>
          <w:rFonts w:hint="eastAsia"/>
        </w:rPr>
        <w:t>记录报表</w:t>
      </w:r>
      <w:bookmarkEnd w:id="15"/>
      <w:bookmarkEnd w:id="16"/>
      <w:bookmarkEnd w:id="17"/>
      <w:bookmarkEnd w:id="18"/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在开标报表之前录入【到会人员记录】，然后进入</w:t>
      </w:r>
      <w:r>
        <w:rPr>
          <w:rFonts w:hint="eastAsia" w:ascii="宋体" w:hAnsi="宋体"/>
          <w:sz w:val="28"/>
          <w:szCs w:val="28"/>
        </w:rPr>
        <w:t>【</w:t>
      </w:r>
      <w:r>
        <w:rPr>
          <w:rFonts w:hint="eastAsia" w:ascii="宋体" w:hAnsi="宋体"/>
          <w:sz w:val="28"/>
          <w:szCs w:val="28"/>
          <w:lang w:val="en-US" w:eastAsia="zh-CN"/>
        </w:rPr>
        <w:t>开标报表</w:t>
      </w:r>
      <w:r>
        <w:rPr>
          <w:rFonts w:hint="eastAsia" w:ascii="宋体" w:hAnsi="宋体"/>
          <w:sz w:val="28"/>
          <w:szCs w:val="28"/>
        </w:rPr>
        <w:t>】，</w:t>
      </w:r>
      <w:r>
        <w:rPr>
          <w:rFonts w:hint="eastAsia" w:ascii="宋体" w:hAnsi="宋体"/>
          <w:sz w:val="28"/>
          <w:szCs w:val="28"/>
          <w:lang w:val="en-US" w:eastAsia="zh-CN"/>
        </w:rPr>
        <w:t>点击【签章】</w:t>
      </w:r>
      <w:r>
        <w:rPr>
          <w:rFonts w:hint="eastAsia" w:ascii="宋体" w:hAnsi="宋体"/>
          <w:sz w:val="28"/>
          <w:szCs w:val="28"/>
        </w:rPr>
        <w:t>进行</w:t>
      </w:r>
      <w:r>
        <w:rPr>
          <w:rFonts w:ascii="宋体" w:hAnsi="宋体"/>
          <w:sz w:val="28"/>
          <w:szCs w:val="28"/>
        </w:rPr>
        <w:t>签名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界面显示已签名。</w:t>
      </w:r>
      <w:r>
        <w:rPr>
          <w:rFonts w:hint="eastAsia" w:ascii="宋体" w:hAnsi="宋体"/>
          <w:sz w:val="28"/>
          <w:szCs w:val="28"/>
        </w:rPr>
        <w:t>如下图：</w:t>
      </w:r>
    </w:p>
    <w:p>
      <w:pPr>
        <w:ind w:firstLine="0" w:firstLineChars="0"/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4200525" cy="1953895"/>
            <wp:effectExtent l="0" t="0" r="9525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  <w:r>
        <w:rPr>
          <w:rFonts w:hint="eastAsia"/>
        </w:rPr>
        <w:t>开标记录表</w:t>
      </w:r>
    </w:p>
    <w:p>
      <w:pPr>
        <w:pStyle w:val="3"/>
        <w:widowControl/>
        <w:spacing w:line="416" w:lineRule="auto"/>
        <w:ind w:left="576" w:hanging="576"/>
        <w:jc w:val="left"/>
      </w:pPr>
      <w:bookmarkStart w:id="19" w:name="_Toc24297460"/>
      <w:bookmarkStart w:id="20" w:name="_Toc498093354"/>
      <w:bookmarkStart w:id="21" w:name="_Toc26019765"/>
      <w:bookmarkStart w:id="22" w:name="_Toc24297153"/>
      <w:r>
        <w:rPr>
          <w:rFonts w:hint="eastAsia"/>
        </w:rPr>
        <w:t>开标结束</w:t>
      </w:r>
      <w:bookmarkEnd w:id="19"/>
      <w:bookmarkEnd w:id="20"/>
      <w:bookmarkEnd w:id="21"/>
      <w:bookmarkEnd w:id="22"/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开标活动完成后，点击【开标</w:t>
      </w:r>
      <w:r>
        <w:rPr>
          <w:rFonts w:ascii="宋体" w:hAnsi="宋体"/>
          <w:sz w:val="28"/>
          <w:szCs w:val="28"/>
        </w:rPr>
        <w:t>结束</w:t>
      </w:r>
      <w:r>
        <w:rPr>
          <w:rFonts w:hint="eastAsia" w:ascii="宋体" w:hAnsi="宋体"/>
          <w:sz w:val="28"/>
          <w:szCs w:val="28"/>
        </w:rPr>
        <w:t>】</w:t>
      </w:r>
      <w:r>
        <w:rPr>
          <w:rFonts w:ascii="宋体" w:hAnsi="宋体"/>
          <w:sz w:val="28"/>
          <w:szCs w:val="28"/>
        </w:rPr>
        <w:t>按钮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完成开标流程</w:t>
      </w:r>
      <w:r>
        <w:rPr>
          <w:rFonts w:hint="eastAsia" w:ascii="宋体" w:hAnsi="宋体"/>
          <w:sz w:val="28"/>
          <w:szCs w:val="28"/>
        </w:rPr>
        <w:t>。如下图：</w:t>
      </w:r>
    </w:p>
    <w:p>
      <w:pPr>
        <w:ind w:firstLine="0" w:firstLineChars="0"/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4199890" cy="1767840"/>
            <wp:effectExtent l="0" t="0" r="3810" b="101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jc w:val="left"/>
        <w:rPr>
          <w:rFonts w:ascii="宋体" w:hAnsi="宋体" w:cstheme="minorBidi"/>
          <w:szCs w:val="22"/>
        </w:rPr>
      </w:pPr>
    </w:p>
    <w:p>
      <w:pPr>
        <w:ind w:firstLine="420"/>
      </w:pPr>
    </w:p>
    <w:p>
      <w:pPr>
        <w:pStyle w:val="2"/>
        <w:widowControl/>
        <w:spacing w:before="340" w:after="330"/>
        <w:ind w:left="432" w:hanging="432"/>
        <w:jc w:val="left"/>
      </w:pPr>
      <w:bookmarkStart w:id="23" w:name="_Toc26091492"/>
      <w:r>
        <w:rPr>
          <w:rFonts w:hint="eastAsia"/>
        </w:rPr>
        <w:t>工作人员</w:t>
      </w:r>
      <w:bookmarkEnd w:id="23"/>
    </w:p>
    <w:p>
      <w:pPr>
        <w:pStyle w:val="3"/>
        <w:widowControl/>
        <w:spacing w:line="416" w:lineRule="auto"/>
        <w:ind w:left="576" w:hanging="576"/>
        <w:jc w:val="left"/>
      </w:pPr>
      <w:bookmarkStart w:id="24" w:name="_Toc26091493"/>
      <w:r>
        <w:rPr>
          <w:rFonts w:hint="eastAsia"/>
        </w:rPr>
        <w:t>系统登录</w:t>
      </w:r>
      <w:bookmarkEnd w:id="24"/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系统管理员对工作人员进行账号分配，工作人员输入用户名、密码点击【登录】按钮即可登录系统。如下图：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6240" cy="2724785"/>
            <wp:effectExtent l="0" t="0" r="10160" b="571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工作人员登录</w:t>
      </w:r>
    </w:p>
    <w:p>
      <w:pPr>
        <w:pStyle w:val="3"/>
        <w:widowControl/>
        <w:spacing w:line="416" w:lineRule="auto"/>
        <w:ind w:left="576" w:hanging="576"/>
        <w:jc w:val="left"/>
      </w:pPr>
      <w:bookmarkStart w:id="25" w:name="_Toc26091494"/>
      <w:r>
        <w:rPr>
          <w:rFonts w:hint="eastAsia"/>
        </w:rPr>
        <w:t>项目管理</w:t>
      </w:r>
      <w:bookmarkEnd w:id="25"/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在项目管理页，默认显示今日评标项目的基本信息，管理人员可以以开标时间、标段状态筛选项目，</w:t>
      </w:r>
      <w:r>
        <w:rPr>
          <w:rFonts w:ascii="宋体" w:hAnsi="宋体"/>
          <w:szCs w:val="28"/>
        </w:rPr>
        <w:t>也可</w:t>
      </w:r>
      <w:r>
        <w:rPr>
          <w:rFonts w:hint="eastAsia" w:ascii="宋体" w:hAnsi="宋体"/>
          <w:szCs w:val="28"/>
        </w:rPr>
        <w:t>以在搜索框中输入项目名称后，点击搜索按钮查找项目选择项目，点击【进入】按钮，进入项目管理页。如下图：</w:t>
      </w:r>
    </w:p>
    <w:p>
      <w:pPr>
        <w:ind w:firstLine="0" w:firstLineChars="0"/>
      </w:pPr>
      <w:r>
        <w:drawing>
          <wp:inline distT="0" distB="0" distL="114300" distR="114300">
            <wp:extent cx="4199890" cy="1465580"/>
            <wp:effectExtent l="0" t="0" r="3810" b="762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项目管理</w:t>
      </w:r>
    </w:p>
    <w:p>
      <w:pPr>
        <w:pStyle w:val="3"/>
        <w:widowControl/>
        <w:spacing w:line="416" w:lineRule="auto"/>
        <w:ind w:left="576" w:hanging="576"/>
        <w:jc w:val="left"/>
      </w:pPr>
      <w:r>
        <w:rPr>
          <w:rFonts w:hint="eastAsia"/>
        </w:rPr>
        <w:t>确定资格审查人员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确定资格审查人员有同步审查人员、添加审查人员、删除选定项、确定审查人员共4个功能。</w:t>
      </w:r>
    </w:p>
    <w:p>
      <w:pPr>
        <w:ind w:firstLine="420"/>
      </w:pPr>
      <w:r>
        <w:rPr>
          <w:rFonts w:hint="eastAsia" w:ascii="宋体" w:hAnsi="宋体"/>
          <w:szCs w:val="28"/>
        </w:rPr>
        <w:t>同步审查人员：从政府采购系统同步本项目的评委信息。点击【同步审查人员】，系统将提示“是否同步”，选择【确定】。同步审查人员后，确认审查人员信息无误，可点击【确定审查人员】。如下图：</w:t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4204970" cy="1340485"/>
            <wp:effectExtent l="0" t="0" r="11430" b="571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2"/>
      </w:pPr>
      <w:r>
        <w:rPr>
          <w:rFonts w:hint="eastAsia"/>
          <w:b/>
          <w:bCs/>
          <w:color w:val="FF0000"/>
        </w:rPr>
        <w:t>资格审查人员确认后，资审人员登录账号进行项目资格审查，详见3资格审查人员，资格审查人员操作完成后，由工作人员进行确定评委操作。</w:t>
      </w:r>
    </w:p>
    <w:p>
      <w:pPr>
        <w:pStyle w:val="3"/>
        <w:widowControl/>
        <w:spacing w:line="416" w:lineRule="auto"/>
        <w:ind w:left="576" w:hanging="576"/>
        <w:jc w:val="left"/>
      </w:pPr>
      <w:bookmarkStart w:id="26" w:name="_Toc26091495"/>
      <w:r>
        <w:rPr>
          <w:rFonts w:hint="eastAsia"/>
        </w:rPr>
        <w:t>确定评委</w:t>
      </w:r>
      <w:bookmarkEnd w:id="26"/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确定评委有同步评委、添加评委、删除选定项、确定评委共4个功能。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同步评委：从政府采购系统同步本项目的评委信息。点击【同步评委】，系统将提示“是否同步”，选择【确定】。如下图：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6240" cy="1544320"/>
            <wp:effectExtent l="0" t="0" r="10160" b="508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同步评委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添加评委：添加参与评标的评委，具体包括评委姓名（必填）、身份证号（必填）、工作单位、评委专业、手机号、专家来源（采购人代表、专家评委）。如下图：</w:t>
      </w:r>
    </w:p>
    <w:p>
      <w:pPr>
        <w:pStyle w:val="30"/>
        <w:ind w:left="240"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4970" cy="1871980"/>
            <wp:effectExtent l="0" t="0" r="11430" b="762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填写新增评委信息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删除选定项：删除选定的评委。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确定评委：点击【确定评委】，提示确定评委后，评委信息将不能再修改，是否需要确定？选择“确定”后，该评委信息不能更改。如下图：</w:t>
      </w:r>
    </w:p>
    <w:p>
      <w:pPr>
        <w:ind w:firstLine="0" w:firstLineChars="0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198620" cy="1798320"/>
            <wp:effectExtent l="0" t="0" r="5080" b="508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确定评委</w:t>
      </w:r>
    </w:p>
    <w:p>
      <w:pPr>
        <w:pStyle w:val="3"/>
        <w:widowControl/>
        <w:spacing w:line="416" w:lineRule="auto"/>
        <w:ind w:left="576" w:hanging="576"/>
        <w:jc w:val="left"/>
      </w:pPr>
      <w:r>
        <w:rPr>
          <w:rFonts w:hint="eastAsia"/>
        </w:rPr>
        <w:t>评标报告</w:t>
      </w:r>
    </w:p>
    <w:p>
      <w:pPr>
        <w:ind w:firstLine="420"/>
      </w:pPr>
      <w:r>
        <w:rPr>
          <w:rFonts w:hint="eastAsia"/>
        </w:rPr>
        <w:t>展示项目评标报告，可以批量打印报表，如下图：</w:t>
      </w:r>
    </w:p>
    <w:p>
      <w:pPr>
        <w:ind w:firstLine="0" w:firstLineChars="0"/>
      </w:pPr>
      <w:r>
        <w:drawing>
          <wp:inline distT="0" distB="0" distL="114300" distR="114300">
            <wp:extent cx="4204970" cy="1972310"/>
            <wp:effectExtent l="0" t="0" r="11430" b="8890"/>
            <wp:docPr id="7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评标报告</w:t>
      </w:r>
    </w:p>
    <w:p>
      <w:pPr>
        <w:pStyle w:val="3"/>
        <w:widowControl/>
        <w:spacing w:line="416" w:lineRule="auto"/>
        <w:ind w:left="576" w:hanging="576"/>
        <w:jc w:val="left"/>
      </w:pPr>
      <w:r>
        <w:rPr>
          <w:rFonts w:hint="eastAsia"/>
        </w:rPr>
        <w:t>评标结果</w:t>
      </w:r>
    </w:p>
    <w:p>
      <w:pPr>
        <w:ind w:firstLine="420"/>
      </w:pPr>
      <w:r>
        <w:rPr>
          <w:rFonts w:hint="eastAsia"/>
        </w:rPr>
        <w:t>可查看该项目评标结果，中标候选人信息，如下图</w:t>
      </w:r>
    </w:p>
    <w:p>
      <w:pPr>
        <w:ind w:firstLine="0" w:firstLineChars="0"/>
      </w:pPr>
      <w:r>
        <w:drawing>
          <wp:inline distT="0" distB="0" distL="114300" distR="114300">
            <wp:extent cx="4201160" cy="1616075"/>
            <wp:effectExtent l="0" t="0" r="2540" b="9525"/>
            <wp:docPr id="7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line="416" w:lineRule="auto"/>
        <w:ind w:left="576" w:hanging="576"/>
        <w:jc w:val="left"/>
      </w:pPr>
      <w:bookmarkStart w:id="27" w:name="_Toc26091496"/>
      <w:r>
        <w:rPr>
          <w:rFonts w:hint="eastAsia"/>
        </w:rPr>
        <w:t>项目进展</w:t>
      </w:r>
      <w:bookmarkEnd w:id="27"/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展示项目所有已经完成的环节，和下一步即将进行的环节。如下图：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1795" cy="1607185"/>
            <wp:effectExtent l="0" t="0" r="1905" b="5715"/>
            <wp:docPr id="7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项目进展</w:t>
      </w:r>
    </w:p>
    <w:p>
      <w:pPr>
        <w:pStyle w:val="3"/>
        <w:widowControl/>
        <w:spacing w:line="416" w:lineRule="auto"/>
        <w:ind w:left="576" w:hanging="576"/>
        <w:jc w:val="left"/>
        <w:rPr>
          <w:highlight w:val="red"/>
        </w:rPr>
      </w:pPr>
      <w:r>
        <w:rPr>
          <w:rFonts w:hint="eastAsia"/>
          <w:highlight w:val="red"/>
        </w:rPr>
        <w:t>回退表决</w:t>
      </w:r>
    </w:p>
    <w:p>
      <w:pPr>
        <w:ind w:firstLine="420"/>
      </w:pPr>
      <w:r>
        <w:rPr>
          <w:rFonts w:hint="eastAsia"/>
        </w:rPr>
        <w:t>专家组长申请重评表决后，工作人员可在回退表决中查看情况，如下图</w:t>
      </w:r>
    </w:p>
    <w:p>
      <w:pPr>
        <w:ind w:firstLine="0" w:firstLineChars="0"/>
      </w:pPr>
      <w:r>
        <w:drawing>
          <wp:inline distT="0" distB="0" distL="114300" distR="114300">
            <wp:extent cx="4199890" cy="1638935"/>
            <wp:effectExtent l="0" t="0" r="3810" b="12065"/>
            <wp:docPr id="7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340" w:after="330"/>
        <w:ind w:left="432" w:hanging="432"/>
        <w:jc w:val="left"/>
      </w:pPr>
      <w:r>
        <w:rPr>
          <w:rFonts w:hint="eastAsia"/>
        </w:rPr>
        <w:t>资格审查人员</w:t>
      </w:r>
    </w:p>
    <w:p>
      <w:pPr>
        <w:pStyle w:val="3"/>
        <w:widowControl/>
        <w:spacing w:line="416" w:lineRule="auto"/>
        <w:ind w:left="576" w:hanging="576"/>
        <w:jc w:val="left"/>
      </w:pPr>
      <w:r>
        <w:rPr>
          <w:rFonts w:hint="eastAsia"/>
        </w:rPr>
        <w:t>系统登录</w:t>
      </w:r>
    </w:p>
    <w:p>
      <w:pPr>
        <w:ind w:firstLine="420"/>
      </w:pPr>
    </w:p>
    <w:p>
      <w:pPr>
        <w:ind w:firstLine="420"/>
        <w:jc w:val="left"/>
      </w:pPr>
      <w:r>
        <w:rPr>
          <w:rFonts w:hint="eastAsia" w:ascii="宋体" w:hAnsi="宋体"/>
          <w:szCs w:val="28"/>
        </w:rPr>
        <w:t>资格审查人员选择“</w:t>
      </w:r>
      <w:r>
        <w:rPr>
          <w:rFonts w:hint="eastAsia" w:ascii="宋体" w:hAnsi="宋体"/>
          <w:szCs w:val="28"/>
          <w:lang w:val="en-US" w:eastAsia="zh-CN"/>
        </w:rPr>
        <w:t>资格审查人员</w:t>
      </w:r>
      <w:r>
        <w:rPr>
          <w:rFonts w:hint="eastAsia" w:ascii="宋体" w:hAnsi="宋体"/>
          <w:szCs w:val="28"/>
        </w:rPr>
        <w:t>”角色，用户名为姓名，密码为身份证后六位，点击【登录】按钮即可登录系统。如下图：</w:t>
      </w:r>
      <w:r>
        <w:drawing>
          <wp:inline distT="0" distB="0" distL="114300" distR="114300">
            <wp:extent cx="4198620" cy="2323465"/>
            <wp:effectExtent l="0" t="0" r="508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资审登录</w:t>
      </w:r>
    </w:p>
    <w:p>
      <w:pPr>
        <w:pStyle w:val="3"/>
        <w:widowControl/>
        <w:spacing w:line="416" w:lineRule="auto"/>
        <w:ind w:left="576" w:hanging="576"/>
        <w:jc w:val="left"/>
      </w:pPr>
      <w:r>
        <w:rPr>
          <w:rFonts w:hint="eastAsia"/>
        </w:rPr>
        <w:t>资审主页面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登录系统后，会自动进入到需要评标的项目。评标界面左侧是评审流程，资审人员只需要按照流程进行评审到最后一个流程即完成评标；界面中部是评审区域，资审人员需要在此区域对投标文件的进行评审、打分等操作；界面右侧是辅助评标工具栏，提供专家在评审过程中使用。如下图：</w:t>
      </w:r>
    </w:p>
    <w:p>
      <w:pPr>
        <w:ind w:firstLine="0" w:firstLineChars="0"/>
      </w:pPr>
      <w:r>
        <w:drawing>
          <wp:inline distT="0" distB="0" distL="114300" distR="114300">
            <wp:extent cx="4203065" cy="1931670"/>
            <wp:effectExtent l="0" t="0" r="63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资审主页面</w:t>
      </w:r>
    </w:p>
    <w:p>
      <w:pPr>
        <w:pStyle w:val="3"/>
        <w:widowControl/>
        <w:spacing w:line="416" w:lineRule="auto"/>
        <w:ind w:left="576" w:hanging="576"/>
        <w:jc w:val="left"/>
      </w:pPr>
      <w:r>
        <w:rPr>
          <w:rFonts w:hint="eastAsia"/>
        </w:rPr>
        <w:t>资格性审查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单击导航栏左侧【资格性审查】。功能按钮区包括，全部通过、提交结果、查看结果、汇总结果（组长）。各评委提交评审结果后，由组长【汇总结果】完成评审，汇总时遵循少数服从多数原则。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评审项可逐个评审，也提供点选【全部通过】按钮统一通过后再核对结果，只修改不通过项，提高工作效率。如下图：</w:t>
      </w:r>
    </w:p>
    <w:p>
      <w:pPr>
        <w:ind w:firstLine="420"/>
      </w:pPr>
    </w:p>
    <w:p>
      <w:pPr>
        <w:ind w:firstLine="420"/>
      </w:pPr>
    </w:p>
    <w:p>
      <w:pPr>
        <w:ind w:firstLine="0" w:firstLineChars="0"/>
      </w:pPr>
      <w:r>
        <w:drawing>
          <wp:inline distT="0" distB="0" distL="114300" distR="114300">
            <wp:extent cx="4203065" cy="1931670"/>
            <wp:effectExtent l="0" t="0" r="635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资格性审查</w:t>
      </w:r>
    </w:p>
    <w:p>
      <w:pPr>
        <w:pStyle w:val="3"/>
        <w:widowControl/>
        <w:spacing w:line="416" w:lineRule="auto"/>
        <w:ind w:left="576" w:hanging="576"/>
        <w:jc w:val="left"/>
      </w:pPr>
      <w:r>
        <w:rPr>
          <w:rFonts w:hint="eastAsia"/>
        </w:rPr>
        <w:t>资格性审查报告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点击导航栏【资审审查报表】，功能区刷新显示出 【资格性审查汇总表】页面。点击【获取签名权限】按钮，对报表进行数字签名，有资审人员在签名的情况下，其他资审人员需等待，点击【一键签名】，在手写板上书写签名，点击【确定】按钮完成数字签名，其他资审人员依次获取签名权限进行数字签名。如下图：</w:t>
      </w:r>
    </w:p>
    <w:p>
      <w:pPr>
        <w:ind w:firstLine="0" w:firstLineChars="0"/>
      </w:pPr>
      <w:r>
        <w:drawing>
          <wp:inline distT="0" distB="0" distL="114300" distR="114300">
            <wp:extent cx="4203065" cy="1971040"/>
            <wp:effectExtent l="0" t="0" r="635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资审报表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点击【一键签名】</w:t>
      </w:r>
      <w:r>
        <w:rPr>
          <w:rFonts w:ascii="宋体" w:hAnsi="宋体"/>
          <w:szCs w:val="28"/>
        </w:rPr>
        <w:t>按钮</w:t>
      </w:r>
      <w:r>
        <w:rPr>
          <w:rFonts w:hint="eastAsia" w:ascii="宋体" w:hAnsi="宋体"/>
          <w:szCs w:val="28"/>
        </w:rPr>
        <w:t>，</w:t>
      </w:r>
      <w:r>
        <w:rPr>
          <w:rFonts w:ascii="宋体" w:hAnsi="宋体"/>
          <w:szCs w:val="28"/>
        </w:rPr>
        <w:t>在</w:t>
      </w:r>
      <w:r>
        <w:rPr>
          <w:rFonts w:hint="eastAsia" w:ascii="宋体" w:hAnsi="宋体"/>
          <w:szCs w:val="28"/>
        </w:rPr>
        <w:t>手写板上书写签名后，</w:t>
      </w:r>
      <w:r>
        <w:rPr>
          <w:rFonts w:ascii="宋体" w:hAnsi="宋体"/>
          <w:szCs w:val="28"/>
        </w:rPr>
        <w:t>点击</w:t>
      </w:r>
      <w:r>
        <w:rPr>
          <w:rFonts w:hint="eastAsia" w:ascii="宋体" w:hAnsi="宋体"/>
          <w:szCs w:val="28"/>
        </w:rPr>
        <w:t>【确定】</w:t>
      </w:r>
      <w:r>
        <w:rPr>
          <w:rFonts w:ascii="宋体" w:hAnsi="宋体"/>
          <w:szCs w:val="28"/>
        </w:rPr>
        <w:t>，系统</w:t>
      </w:r>
      <w:r>
        <w:rPr>
          <w:rFonts w:hint="eastAsia" w:ascii="宋体" w:hAnsi="宋体"/>
          <w:szCs w:val="28"/>
        </w:rPr>
        <w:t>会自动在汇总表上生成书写的签名并保存。如下图：</w:t>
      </w:r>
    </w:p>
    <w:p>
      <w:pPr>
        <w:ind w:firstLine="0" w:firstLineChars="0"/>
        <w:rPr>
          <w:rFonts w:ascii="宋体" w:hAnsi="宋体"/>
          <w:szCs w:val="28"/>
        </w:rPr>
      </w:pPr>
      <w:r>
        <w:drawing>
          <wp:inline distT="0" distB="0" distL="114300" distR="114300">
            <wp:extent cx="4199255" cy="1963420"/>
            <wp:effectExtent l="0" t="0" r="4445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4200525" cy="1953895"/>
            <wp:effectExtent l="0" t="0" r="3175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资审汇总表签名</w:t>
      </w:r>
    </w:p>
    <w:p>
      <w:pPr>
        <w:pStyle w:val="3"/>
        <w:widowControl/>
        <w:spacing w:line="416" w:lineRule="auto"/>
        <w:ind w:left="576" w:hanging="576"/>
        <w:jc w:val="left"/>
      </w:pPr>
      <w:r>
        <w:rPr>
          <w:rFonts w:hint="eastAsia"/>
        </w:rPr>
        <w:t>资格审查结束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点击导航栏【资格审查结束】，功能区刷新显示出 【资审结束】页面，可选择资审结束或资审回退，点击【资审结束】，资格审查完成。点击【资审回退】，可回退到资格性审核或资审审查报表部分重新操作。如下图：</w:t>
      </w:r>
    </w:p>
    <w:p>
      <w:pPr>
        <w:ind w:firstLine="420"/>
      </w:pPr>
    </w:p>
    <w:p>
      <w:pPr>
        <w:ind w:firstLine="0" w:firstLineChars="0"/>
      </w:pPr>
      <w:r>
        <w:drawing>
          <wp:inline distT="0" distB="0" distL="114300" distR="114300">
            <wp:extent cx="4200525" cy="1995805"/>
            <wp:effectExtent l="0" t="0" r="3175" b="1079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资审结束</w:t>
      </w:r>
    </w:p>
    <w:p>
      <w:pPr>
        <w:pStyle w:val="2"/>
        <w:widowControl/>
        <w:spacing w:before="340" w:after="330"/>
        <w:ind w:left="432" w:hanging="432"/>
        <w:jc w:val="left"/>
      </w:pPr>
      <w:bookmarkStart w:id="28" w:name="_Toc26091497"/>
      <w:r>
        <w:rPr>
          <w:rFonts w:hint="eastAsia"/>
        </w:rPr>
        <w:t>评标专家</w:t>
      </w:r>
      <w:bookmarkEnd w:id="28"/>
    </w:p>
    <w:p>
      <w:pPr>
        <w:pStyle w:val="3"/>
        <w:widowControl/>
        <w:spacing w:line="416" w:lineRule="auto"/>
        <w:ind w:left="576" w:hanging="576"/>
        <w:jc w:val="left"/>
      </w:pPr>
      <w:bookmarkStart w:id="29" w:name="_Toc26091498"/>
      <w:bookmarkStart w:id="30" w:name="_Toc24296753"/>
      <w:r>
        <w:rPr>
          <w:rFonts w:hint="eastAsia"/>
        </w:rPr>
        <w:t>系统登录</w:t>
      </w:r>
      <w:bookmarkEnd w:id="29"/>
      <w:bookmarkEnd w:id="30"/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评标专家</w:t>
      </w:r>
      <w:bookmarkStart w:id="31" w:name="_Toc403462886"/>
      <w:bookmarkStart w:id="32" w:name="_Toc497988194"/>
      <w:bookmarkStart w:id="33" w:name="_Toc498093360"/>
      <w:bookmarkStart w:id="34" w:name="_Toc24296754"/>
      <w:r>
        <w:rPr>
          <w:rFonts w:hint="eastAsia" w:ascii="宋体" w:hAnsi="宋体"/>
          <w:szCs w:val="28"/>
        </w:rPr>
        <w:t>选择“评委”角色，用户名为评委姓名，密码为身份证后六位，点击【登录】按钮即可登录系统。如下图：</w:t>
      </w:r>
    </w:p>
    <w:p>
      <w:pPr>
        <w:ind w:firstLine="0" w:firstLineChars="0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1160" cy="2392045"/>
            <wp:effectExtent l="0" t="0" r="2540" b="825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评委登录</w:t>
      </w:r>
    </w:p>
    <w:bookmarkEnd w:id="31"/>
    <w:bookmarkEnd w:id="32"/>
    <w:bookmarkEnd w:id="33"/>
    <w:bookmarkEnd w:id="34"/>
    <w:p>
      <w:pPr>
        <w:pStyle w:val="3"/>
        <w:widowControl/>
        <w:spacing w:line="416" w:lineRule="auto"/>
        <w:ind w:left="576" w:hanging="576"/>
        <w:jc w:val="left"/>
      </w:pPr>
      <w:bookmarkStart w:id="35" w:name="_Toc24382539"/>
      <w:bookmarkEnd w:id="35"/>
      <w:bookmarkStart w:id="36" w:name="_Toc24382538"/>
      <w:bookmarkEnd w:id="36"/>
      <w:bookmarkStart w:id="37" w:name="_Toc24382540"/>
      <w:bookmarkEnd w:id="37"/>
      <w:bookmarkStart w:id="38" w:name="_Toc24382535"/>
      <w:bookmarkEnd w:id="38"/>
      <w:bookmarkStart w:id="39" w:name="_Toc24382536"/>
      <w:bookmarkEnd w:id="39"/>
      <w:bookmarkStart w:id="40" w:name="_Toc24382534"/>
      <w:bookmarkEnd w:id="40"/>
      <w:bookmarkStart w:id="41" w:name="_Toc24382533"/>
      <w:bookmarkEnd w:id="41"/>
      <w:bookmarkStart w:id="42" w:name="_Toc24382537"/>
      <w:bookmarkEnd w:id="42"/>
      <w:bookmarkStart w:id="43" w:name="_Toc24382532"/>
      <w:bookmarkEnd w:id="43"/>
      <w:bookmarkStart w:id="44" w:name="_Toc24382531"/>
      <w:bookmarkEnd w:id="44"/>
      <w:bookmarkStart w:id="45" w:name="_Toc497988197"/>
      <w:bookmarkStart w:id="46" w:name="_Toc403462889"/>
      <w:bookmarkStart w:id="47" w:name="_Toc498093363"/>
      <w:bookmarkStart w:id="48" w:name="_Toc24296756"/>
      <w:bookmarkStart w:id="49" w:name="_Toc26091499"/>
      <w:r>
        <w:rPr>
          <w:rFonts w:hint="eastAsia"/>
        </w:rPr>
        <w:t>评标主界面</w:t>
      </w:r>
      <w:bookmarkEnd w:id="45"/>
      <w:bookmarkEnd w:id="46"/>
      <w:bookmarkEnd w:id="47"/>
      <w:bookmarkEnd w:id="48"/>
      <w:bookmarkEnd w:id="49"/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登录系统后，会自动进入到需要评标的项目。评标界面左侧是评审流程，专家只需要按照流程进行评审到最后一个流程即完成评标；界面中部是评审区域，专家需要在此区域对投标文件的进行评审、打分等操作；界面右侧是辅助评标工具栏，提供专家在评审过程中使用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198620" cy="1942465"/>
            <wp:effectExtent l="0" t="0" r="5080" b="63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评标主界面</w:t>
      </w:r>
    </w:p>
    <w:p>
      <w:pPr>
        <w:pStyle w:val="3"/>
        <w:widowControl/>
        <w:spacing w:line="416" w:lineRule="auto"/>
        <w:ind w:left="576" w:hanging="576"/>
        <w:jc w:val="left"/>
      </w:pPr>
      <w:bookmarkStart w:id="50" w:name="_Toc26091500"/>
      <w:bookmarkStart w:id="51" w:name="_Toc403462890"/>
      <w:bookmarkStart w:id="52" w:name="_Toc497988198"/>
      <w:bookmarkStart w:id="53" w:name="_Toc498093364"/>
      <w:bookmarkStart w:id="54" w:name="_Toc24296757"/>
      <w:bookmarkStart w:id="55" w:name="_Toc403462895"/>
      <w:bookmarkStart w:id="56" w:name="_Toc497988201"/>
      <w:bookmarkStart w:id="57" w:name="_Toc498093367"/>
      <w:r>
        <w:rPr>
          <w:rFonts w:hint="eastAsia"/>
        </w:rPr>
        <w:t>评标准备阶段</w:t>
      </w:r>
      <w:bookmarkEnd w:id="50"/>
      <w:bookmarkEnd w:id="51"/>
      <w:bookmarkEnd w:id="52"/>
      <w:bookmarkEnd w:id="53"/>
      <w:bookmarkEnd w:id="54"/>
    </w:p>
    <w:p>
      <w:pPr>
        <w:pStyle w:val="4"/>
        <w:widowControl/>
        <w:ind w:left="720" w:hanging="720"/>
        <w:jc w:val="left"/>
      </w:pPr>
      <w:bookmarkStart w:id="58" w:name="_Toc26091501"/>
      <w:bookmarkStart w:id="59" w:name="_Toc498093365"/>
      <w:bookmarkStart w:id="60" w:name="_Toc403462892"/>
      <w:bookmarkStart w:id="61" w:name="_Toc24296758"/>
      <w:bookmarkStart w:id="62" w:name="_Toc497988199"/>
      <w:r>
        <w:rPr>
          <w:rFonts w:hint="eastAsia"/>
        </w:rPr>
        <w:t>签署</w:t>
      </w:r>
      <w:bookmarkEnd w:id="58"/>
      <w:bookmarkEnd w:id="59"/>
      <w:bookmarkEnd w:id="60"/>
      <w:bookmarkEnd w:id="61"/>
      <w:bookmarkEnd w:id="62"/>
      <w:r>
        <w:rPr>
          <w:rFonts w:hint="eastAsia"/>
        </w:rPr>
        <w:t>承诺书</w:t>
      </w:r>
    </w:p>
    <w:p>
      <w:pPr>
        <w:ind w:firstLine="420"/>
        <w:rPr>
          <w:rFonts w:hint="eastAsia" w:ascii="宋体" w:hAnsi="宋体"/>
          <w:szCs w:val="28"/>
        </w:rPr>
      </w:pPr>
      <w:r>
        <w:rPr>
          <w:rFonts w:hint="eastAsia" w:ascii="宋体" w:hAnsi="宋体"/>
          <w:szCs w:val="28"/>
        </w:rPr>
        <w:t>登录系统后，默认进入准备阶段的【签署承诺书】界面，</w:t>
      </w:r>
      <w:r>
        <w:rPr>
          <w:rFonts w:hint="eastAsia" w:ascii="宋体" w:hAnsi="宋体"/>
          <w:szCs w:val="28"/>
          <w:lang w:val="en-US" w:eastAsia="zh-CN"/>
        </w:rPr>
        <w:t>先承诺书页面不需要签名由最后一键签名一起完成，只需要审阅即可无需签名；</w:t>
      </w:r>
      <w:r>
        <w:rPr>
          <w:rFonts w:hint="eastAsia" w:ascii="宋体" w:hAnsi="宋体"/>
          <w:szCs w:val="28"/>
        </w:rPr>
        <w:t>如下图：</w:t>
      </w:r>
    </w:p>
    <w:p>
      <w:pPr>
        <w:ind w:left="0" w:leftChars="0" w:firstLine="0" w:firstLineChars="0"/>
        <w:rPr>
          <w:rFonts w:hint="eastAsia" w:ascii="宋体" w:hAnsi="宋体"/>
          <w:szCs w:val="28"/>
        </w:rPr>
      </w:pPr>
      <w:r>
        <w:drawing>
          <wp:inline distT="0" distB="0" distL="114300" distR="114300">
            <wp:extent cx="4204970" cy="1958340"/>
            <wp:effectExtent l="0" t="0" r="5080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420"/>
      </w:pPr>
      <w:r>
        <w:rPr>
          <w:rFonts w:hint="eastAsia" w:ascii="宋体" w:hAnsi="宋体"/>
          <w:szCs w:val="28"/>
        </w:rPr>
        <w:t>提示投标单位名称，专家可选择回避或不回避后点击确认即可。</w:t>
      </w:r>
    </w:p>
    <w:p>
      <w:pPr>
        <w:ind w:firstLine="0" w:firstLineChars="0"/>
      </w:pPr>
      <w:r>
        <w:drawing>
          <wp:inline distT="0" distB="0" distL="114300" distR="114300">
            <wp:extent cx="4204335" cy="1812925"/>
            <wp:effectExtent l="0" t="0" r="12065" b="317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回避单位</w:t>
      </w:r>
    </w:p>
    <w:p>
      <w:pPr>
        <w:ind w:firstLine="0" w:firstLineChars="0"/>
      </w:pPr>
      <w:r>
        <w:drawing>
          <wp:inline distT="0" distB="0" distL="114300" distR="114300">
            <wp:extent cx="4197350" cy="1945640"/>
            <wp:effectExtent l="0" t="0" r="6350" b="1016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不回避进行下一项</w:t>
      </w:r>
    </w:p>
    <w:p>
      <w:pPr>
        <w:pStyle w:val="4"/>
        <w:widowControl/>
        <w:ind w:left="720" w:hanging="720"/>
        <w:jc w:val="left"/>
      </w:pPr>
      <w:bookmarkStart w:id="63" w:name="_Toc498093366"/>
      <w:bookmarkStart w:id="64" w:name="_Toc497988200"/>
      <w:bookmarkStart w:id="65" w:name="_Toc26091502"/>
      <w:bookmarkStart w:id="66" w:name="_Toc24296759"/>
      <w:r>
        <w:rPr>
          <w:rFonts w:hint="eastAsia"/>
        </w:rPr>
        <w:t>推荐组长</w:t>
      </w:r>
      <w:bookmarkEnd w:id="63"/>
      <w:bookmarkEnd w:id="64"/>
      <w:bookmarkEnd w:id="65"/>
      <w:bookmarkEnd w:id="66"/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声明签署完成后，选择左侧菜单栏【评标委员会分工】选项，进入推荐组长界面，页面上会显示出评委的信息，评委之间通过投票方式确定该评标项目的评标组长。如下图：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7510" cy="1949450"/>
            <wp:effectExtent l="0" t="0" r="8890" b="635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推荐组长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rPr>
          <w:rFonts w:hint="eastAsia" w:asciiTheme="majorEastAsia" w:hAnsiTheme="majorEastAsia" w:eastAsiaTheme="majorEastAsia"/>
          <w:szCs w:val="28"/>
        </w:rPr>
        <w:t xml:space="preserve"> </w:t>
      </w:r>
    </w:p>
    <w:p>
      <w:pPr>
        <w:pStyle w:val="3"/>
        <w:widowControl/>
        <w:spacing w:line="416" w:lineRule="auto"/>
        <w:ind w:left="576" w:hanging="576"/>
        <w:jc w:val="left"/>
      </w:pPr>
      <w:bookmarkStart w:id="67" w:name="_Toc26091503"/>
      <w:bookmarkStart w:id="68" w:name="_Toc24296760"/>
      <w:r>
        <w:rPr>
          <w:rFonts w:hint="eastAsia"/>
        </w:rPr>
        <w:t>评标过程</w:t>
      </w:r>
      <w:bookmarkEnd w:id="55"/>
      <w:bookmarkEnd w:id="56"/>
      <w:bookmarkEnd w:id="57"/>
      <w:bookmarkEnd w:id="67"/>
      <w:bookmarkEnd w:id="68"/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评标步骤不是固定项，步骤按招标文件设定动态显示。。</w:t>
      </w:r>
    </w:p>
    <w:p>
      <w:pPr>
        <w:pStyle w:val="4"/>
        <w:widowControl/>
        <w:ind w:left="720" w:hanging="720"/>
        <w:jc w:val="left"/>
      </w:pPr>
      <w:bookmarkStart w:id="69" w:name="_Toc26091504"/>
      <w:bookmarkStart w:id="70" w:name="_Toc24296761"/>
      <w:bookmarkStart w:id="71" w:name="_Toc498093368"/>
      <w:bookmarkStart w:id="72" w:name="_Toc497988202"/>
      <w:r>
        <w:rPr>
          <w:rFonts w:hint="eastAsia"/>
        </w:rPr>
        <w:t>符合性审查（通过制）</w:t>
      </w:r>
      <w:bookmarkEnd w:id="69"/>
      <w:bookmarkEnd w:id="70"/>
      <w:bookmarkEnd w:id="71"/>
      <w:bookmarkEnd w:id="72"/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单击导航栏左侧【评标过程】进入评标界面。功能按钮区包括，全部通过、提交结果、查看结果、汇总结果（组长）。各评委提交评审结果后，由组长【汇总结果】完成评审，汇总时遵循少数服从多数原则。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评审项可逐个评审，也提供点选【全部通过】按钮统一通过后再核对结果，只修改不通过项，提高工作效率。如下图：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199255" cy="1989455"/>
            <wp:effectExtent l="0" t="0" r="4445" b="444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形式评审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已提交的评审结果不能修改。如下图：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198620" cy="2012950"/>
            <wp:effectExtent l="0" t="0" r="5080" b="635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Cs w:val="28"/>
        </w:rPr>
        <w:t xml:space="preserve"> </w:t>
      </w:r>
    </w:p>
    <w:p>
      <w:pPr>
        <w:pStyle w:val="11"/>
        <w:ind w:firstLine="420"/>
      </w:pPr>
      <w:r>
        <w:rPr>
          <w:rFonts w:hint="eastAsia"/>
        </w:rPr>
        <w:t>提示信息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199890" cy="1931035"/>
            <wp:effectExtent l="0" t="0" r="3810" b="12065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Cs w:val="28"/>
        </w:rPr>
        <w:t xml:space="preserve"> </w:t>
      </w:r>
    </w:p>
    <w:p>
      <w:pPr>
        <w:pStyle w:val="11"/>
        <w:ind w:firstLine="420"/>
      </w:pPr>
      <w:r>
        <w:rPr>
          <w:rFonts w:hint="eastAsia"/>
        </w:rPr>
        <w:t>评审结果提交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所有评委评审完成之后，评委组长可进行汇总操作，查看汇总结果。如下图：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1160" cy="1946910"/>
            <wp:effectExtent l="0" t="0" r="2540" b="889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评标结果汇总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对每个投标单位的每一个评审项进行评审，不通过时需输入原因，点击【提交结果】按钮提交评审结果，提交后不能再修改评审结果，组长点击汇总【汇总结果】按钮，汇总所有评委的评审结果，点击【评审完成】可进行下一步。点击【重新评审】则全组专家重新进行此部分评审。</w:t>
      </w:r>
    </w:p>
    <w:p>
      <w:pPr>
        <w:pStyle w:val="4"/>
        <w:widowControl/>
        <w:ind w:left="720" w:hanging="720"/>
        <w:jc w:val="left"/>
      </w:pPr>
      <w:bookmarkStart w:id="73" w:name="_Toc498093369"/>
      <w:bookmarkStart w:id="74" w:name="_Toc24296762"/>
      <w:bookmarkStart w:id="75" w:name="_Toc26091505"/>
      <w:r>
        <w:rPr>
          <w:rFonts w:hint="eastAsia"/>
        </w:rPr>
        <w:t>商务评审</w:t>
      </w:r>
      <w:bookmarkEnd w:id="73"/>
      <w:bookmarkEnd w:id="74"/>
      <w:bookmarkEnd w:id="75"/>
      <w:r>
        <w:rPr>
          <w:rFonts w:hint="eastAsia"/>
        </w:rPr>
        <w:t>（打分制）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单击导航栏左侧【评标过程】下的【商务评审】进入评审界面。功能按钮区包括，默认最高、提交结果、汇总结果（组长）。各评委提交评审结果后，由组长【汇总结果】完成评审。如下图：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3065" cy="1890395"/>
            <wp:effectExtent l="0" t="0" r="635" b="1905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商务评审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已提交的评审结果不能修改。如下图：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4335" cy="1979295"/>
            <wp:effectExtent l="0" t="0" r="12065" b="1905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提示信息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197350" cy="1891030"/>
            <wp:effectExtent l="0" t="0" r="6350" b="1270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评审结果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所有评委评审完成之后，评委组长可进行汇总操作，查看汇总结果。如下图：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3065" cy="1940560"/>
            <wp:effectExtent l="0" t="0" r="635" b="2540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汇总结果</w:t>
      </w:r>
    </w:p>
    <w:p>
      <w:pPr>
        <w:pStyle w:val="4"/>
        <w:widowControl/>
        <w:ind w:left="720" w:hanging="720"/>
        <w:jc w:val="left"/>
      </w:pPr>
      <w:bookmarkStart w:id="76" w:name="_Toc24296763"/>
      <w:bookmarkStart w:id="77" w:name="_Toc26091506"/>
      <w:bookmarkStart w:id="78" w:name="_Toc498093370"/>
      <w:r>
        <w:rPr>
          <w:rFonts w:hint="eastAsia"/>
        </w:rPr>
        <w:t>技术评审（打分制）</w:t>
      </w:r>
      <w:bookmarkEnd w:id="76"/>
      <w:bookmarkEnd w:id="77"/>
      <w:bookmarkEnd w:id="78"/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单击导航栏左侧【评标过程】下的【技术评审】进入评审界面。功能按钮区包括，默认最高、提交结果、汇总结果（组长）。各评委提交评审结果后，由组长【汇总结果】完成评审。如下图：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199890" cy="2000250"/>
            <wp:effectExtent l="0" t="0" r="3810" b="6350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技术评审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已提交的评审结果不能修改。如下图：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197985" cy="1812925"/>
            <wp:effectExtent l="0" t="0" r="5715" b="317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提示信息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评委没有全部提交，组长汇总，显示各评委评审状态。如下图：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199255" cy="1939925"/>
            <wp:effectExtent l="0" t="0" r="4445" b="3175"/>
            <wp:docPr id="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评审结果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所有评委评审完成之后，评委组长可进行汇总操作，查看汇总结果。如下图：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2430" cy="1980565"/>
            <wp:effectExtent l="0" t="0" r="1270" b="635"/>
            <wp:docPr id="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汇总结果</w:t>
      </w:r>
    </w:p>
    <w:p>
      <w:pPr>
        <w:pStyle w:val="4"/>
        <w:widowControl/>
        <w:ind w:left="720" w:hanging="720"/>
        <w:jc w:val="left"/>
      </w:pPr>
      <w:bookmarkStart w:id="79" w:name="_Toc497988203"/>
      <w:bookmarkStart w:id="80" w:name="_Toc26091507"/>
      <w:bookmarkStart w:id="81" w:name="_Toc498093371"/>
      <w:bookmarkStart w:id="82" w:name="_Toc24296764"/>
      <w:r>
        <w:rPr>
          <w:rFonts w:hint="eastAsia"/>
        </w:rPr>
        <w:t>政策性加分评审（打分制）</w:t>
      </w:r>
      <w:bookmarkEnd w:id="79"/>
      <w:bookmarkEnd w:id="80"/>
      <w:bookmarkEnd w:id="81"/>
      <w:bookmarkEnd w:id="82"/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单击导航栏左侧【评标过程】下的【政策性加分评审】进入评审界面。功能按钮区包括，默认最高、提交结果、汇总结果（组长）。各评委提交评审结果后，由组长【汇总结果】完成评审。如下图：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4970" cy="1976755"/>
            <wp:effectExtent l="0" t="0" r="11430" b="4445"/>
            <wp:docPr id="4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政策性加分评审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已提交的评审结果不能修改。如下图：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198620" cy="1894205"/>
            <wp:effectExtent l="0" t="0" r="5080" b="10795"/>
            <wp:docPr id="4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提示信息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所有评委评审完成之后，评委组长可进行汇总操作，查看汇总结果。如下图：</w:t>
      </w:r>
    </w:p>
    <w:p>
      <w:pPr>
        <w:pStyle w:val="11"/>
        <w:jc w:val="left"/>
      </w:pPr>
      <w:r>
        <w:drawing>
          <wp:inline distT="0" distB="0" distL="114300" distR="114300">
            <wp:extent cx="4201160" cy="1948180"/>
            <wp:effectExtent l="0" t="0" r="2540" b="7620"/>
            <wp:docPr id="5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组长汇总</w:t>
      </w:r>
    </w:p>
    <w:p>
      <w:pPr>
        <w:pStyle w:val="4"/>
        <w:widowControl/>
        <w:ind w:left="720" w:hanging="720"/>
        <w:jc w:val="left"/>
      </w:pPr>
      <w:bookmarkStart w:id="83" w:name="_Toc497988207"/>
      <w:bookmarkStart w:id="84" w:name="_Toc24296769"/>
      <w:bookmarkStart w:id="85" w:name="_Toc498093373"/>
      <w:bookmarkStart w:id="86" w:name="_Toc26091512"/>
      <w:r>
        <w:rPr>
          <w:rFonts w:hint="eastAsia"/>
        </w:rPr>
        <w:t>报价</w:t>
      </w:r>
      <w:bookmarkEnd w:id="83"/>
      <w:bookmarkEnd w:id="84"/>
      <w:bookmarkEnd w:id="85"/>
      <w:bookmarkEnd w:id="86"/>
      <w:r>
        <w:rPr>
          <w:rFonts w:hint="eastAsia"/>
        </w:rPr>
        <w:t>评审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点击导航栏左侧【评标过程】→【报价评审】进入投标报价打分界面，投标报价评分只需要评委组长进行评审，其他评委只能查看。如下图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2430" cy="1985010"/>
            <wp:effectExtent l="0" t="0" r="1270" b="8890"/>
            <wp:docPr id="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报价评审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点击【计算】，系统自动对投标单位报价进行打分。由组长进行提交。如下图：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2430" cy="1853565"/>
            <wp:effectExtent l="0" t="0" r="1270" b="635"/>
            <wp:docPr id="5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计算结果</w:t>
      </w:r>
    </w:p>
    <w:p>
      <w:pPr>
        <w:pStyle w:val="3"/>
        <w:widowControl/>
        <w:spacing w:line="416" w:lineRule="auto"/>
        <w:ind w:left="576" w:hanging="576"/>
        <w:jc w:val="left"/>
      </w:pPr>
      <w:bookmarkStart w:id="87" w:name="_Toc403462903"/>
      <w:bookmarkStart w:id="88" w:name="_Toc26091513"/>
      <w:bookmarkStart w:id="89" w:name="_Toc498093374"/>
      <w:bookmarkStart w:id="90" w:name="_Toc24296770"/>
      <w:bookmarkStart w:id="91" w:name="_Toc497988209"/>
      <w:r>
        <w:rPr>
          <w:rFonts w:hint="eastAsia"/>
        </w:rPr>
        <w:t>评标结束</w:t>
      </w:r>
      <w:bookmarkEnd w:id="87"/>
      <w:bookmarkEnd w:id="88"/>
      <w:bookmarkEnd w:id="89"/>
      <w:bookmarkEnd w:id="90"/>
      <w:bookmarkEnd w:id="91"/>
    </w:p>
    <w:p>
      <w:pPr>
        <w:ind w:firstLine="420"/>
        <w:rPr>
          <w:rFonts w:asciiTheme="majorEastAsia" w:hAnsiTheme="majorEastAsia" w:eastAsiaTheme="majorEastAsia"/>
          <w:szCs w:val="28"/>
        </w:rPr>
      </w:pPr>
      <w:r>
        <w:rPr>
          <w:rFonts w:hint="eastAsia" w:ascii="宋体" w:hAnsi="宋体"/>
          <w:szCs w:val="28"/>
        </w:rPr>
        <w:t>评标结束环节分为三个部分：（1）汇总评分结果；（2）评标报告；（3）</w:t>
      </w:r>
      <w:r>
        <w:rPr>
          <w:rFonts w:hint="eastAsia" w:asciiTheme="majorEastAsia" w:hAnsiTheme="majorEastAsia" w:eastAsiaTheme="majorEastAsia"/>
          <w:szCs w:val="28"/>
        </w:rPr>
        <w:t>评标结束。</w:t>
      </w:r>
    </w:p>
    <w:p>
      <w:pPr>
        <w:pStyle w:val="4"/>
        <w:widowControl/>
        <w:ind w:left="720" w:hanging="720"/>
        <w:jc w:val="left"/>
      </w:pPr>
      <w:bookmarkStart w:id="92" w:name="_Toc497988210"/>
      <w:bookmarkStart w:id="93" w:name="_Toc498093375"/>
      <w:bookmarkStart w:id="94" w:name="_Toc24296771"/>
      <w:bookmarkStart w:id="95" w:name="_Toc26091514"/>
      <w:bookmarkStart w:id="96" w:name="_Toc403462904"/>
      <w:r>
        <w:rPr>
          <w:rFonts w:hint="eastAsia"/>
        </w:rPr>
        <w:t>汇总评分结果</w:t>
      </w:r>
      <w:bookmarkEnd w:id="92"/>
      <w:bookmarkEnd w:id="93"/>
      <w:bookmarkEnd w:id="94"/>
      <w:bookmarkEnd w:id="95"/>
      <w:bookmarkEnd w:id="96"/>
    </w:p>
    <w:p>
      <w:pPr>
        <w:ind w:firstLine="420"/>
        <w:rPr>
          <w:rFonts w:asciiTheme="majorEastAsia" w:hAnsiTheme="majorEastAsia"/>
          <w:szCs w:val="28"/>
        </w:rPr>
      </w:pPr>
      <w:r>
        <w:rPr>
          <w:rFonts w:hint="eastAsia" w:ascii="宋体" w:hAnsi="宋体"/>
          <w:szCs w:val="28"/>
        </w:rPr>
        <w:t>点击【评标结束】→【汇总评分结果】，进入评审结果汇总界面，显示各评委评审结果及投标单位得分，此环节只需要评委组长操作，其他评委无法操作。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组长可勾选推荐中标候选人，并且点击【确定中标候选人】按钮，完成中标候选人操作。确认排名结果，评委组长可以手动修改排名，选择推荐的中标候选人，点击【确定中标候选人】按钮，确定最终候选人名单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3065" cy="1900555"/>
            <wp:effectExtent l="0" t="0" r="635" b="4445"/>
            <wp:docPr id="5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确定中标候选人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提示“执行成功!”，确定之后，【确定中标候选人】按钮置灰，不可继续操作。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</w:p>
    <w:p>
      <w:pPr>
        <w:pStyle w:val="4"/>
        <w:widowControl/>
        <w:ind w:left="720" w:hanging="720"/>
        <w:jc w:val="left"/>
      </w:pPr>
      <w:bookmarkStart w:id="97" w:name="_Toc26091475"/>
      <w:bookmarkEnd w:id="97"/>
      <w:bookmarkStart w:id="98" w:name="_Toc26091515"/>
      <w:bookmarkEnd w:id="98"/>
      <w:bookmarkStart w:id="99" w:name="_Toc498093376"/>
      <w:bookmarkStart w:id="100" w:name="_Toc403462905"/>
      <w:bookmarkStart w:id="101" w:name="_Toc24296772"/>
      <w:bookmarkStart w:id="102" w:name="_Toc26091516"/>
      <w:bookmarkStart w:id="103" w:name="_Toc497988211"/>
      <w:r>
        <w:rPr>
          <w:rFonts w:hint="eastAsia"/>
        </w:rPr>
        <w:t>评标报告</w:t>
      </w:r>
      <w:bookmarkEnd w:id="99"/>
      <w:bookmarkEnd w:id="100"/>
      <w:bookmarkEnd w:id="101"/>
      <w:bookmarkEnd w:id="102"/>
      <w:bookmarkEnd w:id="103"/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点击导航栏【评审结果】→【评标报告】，功能区刷新显示出 【评标报告】页面。点击【获取签名权限】按钮，对报表进行数字签名，有评委在签名的情况下，其他评委需等待，点击【一键签名】，在手写板上书写签名，点击【确定】按钮完成数字签名，其他评委方依次获取签名权限进行数字签名。如下图：</w:t>
      </w:r>
    </w:p>
    <w:p>
      <w:pPr>
        <w:ind w:firstLine="149" w:firstLineChars="71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2430" cy="2037080"/>
            <wp:effectExtent l="0" t="0" r="1270" b="7620"/>
            <wp:docPr id="5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评标报告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点击【一键签名】</w:t>
      </w:r>
      <w:r>
        <w:rPr>
          <w:rFonts w:ascii="宋体" w:hAnsi="宋体"/>
          <w:szCs w:val="28"/>
        </w:rPr>
        <w:t>按钮</w:t>
      </w:r>
      <w:r>
        <w:rPr>
          <w:rFonts w:hint="eastAsia" w:ascii="宋体" w:hAnsi="宋体"/>
          <w:szCs w:val="28"/>
        </w:rPr>
        <w:t>，</w:t>
      </w:r>
      <w:r>
        <w:rPr>
          <w:rFonts w:ascii="宋体" w:hAnsi="宋体"/>
          <w:szCs w:val="28"/>
        </w:rPr>
        <w:t>在</w:t>
      </w:r>
      <w:r>
        <w:rPr>
          <w:rFonts w:hint="eastAsia" w:ascii="宋体" w:hAnsi="宋体"/>
          <w:szCs w:val="28"/>
        </w:rPr>
        <w:t>手写板上书写签名后，</w:t>
      </w:r>
      <w:r>
        <w:rPr>
          <w:rFonts w:ascii="宋体" w:hAnsi="宋体"/>
          <w:szCs w:val="28"/>
        </w:rPr>
        <w:t>点击</w:t>
      </w:r>
      <w:r>
        <w:rPr>
          <w:rFonts w:hint="eastAsia" w:ascii="宋体" w:hAnsi="宋体"/>
          <w:szCs w:val="28"/>
        </w:rPr>
        <w:t>【确定】</w:t>
      </w:r>
      <w:r>
        <w:rPr>
          <w:rFonts w:ascii="宋体" w:hAnsi="宋体"/>
          <w:szCs w:val="28"/>
        </w:rPr>
        <w:t>，系统</w:t>
      </w:r>
      <w:r>
        <w:rPr>
          <w:rFonts w:hint="eastAsia" w:ascii="宋体" w:hAnsi="宋体"/>
          <w:szCs w:val="28"/>
        </w:rPr>
        <w:t>会自动在所有报告上生成书写的签名并保存。如下图：</w:t>
      </w:r>
    </w:p>
    <w:p>
      <w:pPr>
        <w:ind w:firstLine="0" w:firstLineChars="0"/>
      </w:pPr>
      <w:r>
        <w:drawing>
          <wp:inline distT="0" distB="0" distL="114300" distR="114300">
            <wp:extent cx="4203065" cy="1936115"/>
            <wp:effectExtent l="0" t="0" r="635" b="6985"/>
            <wp:docPr id="5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一键签名</w:t>
      </w:r>
    </w:p>
    <w:p>
      <w:pPr>
        <w:ind w:firstLine="0" w:firstLineChars="0"/>
      </w:pPr>
      <w:r>
        <w:drawing>
          <wp:inline distT="0" distB="0" distL="114300" distR="114300">
            <wp:extent cx="4199890" cy="1963420"/>
            <wp:effectExtent l="0" t="0" r="3810" b="5080"/>
            <wp:docPr id="5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提示信息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点击【</w:t>
      </w:r>
      <w:r>
        <w:rPr>
          <w:rFonts w:ascii="宋体" w:hAnsi="宋体"/>
          <w:szCs w:val="28"/>
        </w:rPr>
        <w:t>重新</w:t>
      </w:r>
      <w:r>
        <w:rPr>
          <w:rFonts w:hint="eastAsia" w:ascii="宋体" w:hAnsi="宋体"/>
          <w:szCs w:val="28"/>
        </w:rPr>
        <w:t>生成当前报表】和【</w:t>
      </w:r>
      <w:r>
        <w:rPr>
          <w:rFonts w:ascii="宋体" w:hAnsi="宋体"/>
          <w:szCs w:val="28"/>
        </w:rPr>
        <w:t>重新</w:t>
      </w:r>
      <w:r>
        <w:rPr>
          <w:rFonts w:hint="eastAsia" w:ascii="宋体" w:hAnsi="宋体"/>
          <w:szCs w:val="28"/>
        </w:rPr>
        <w:t>生成所有报表】会重置报表上的签名。如下图：</w:t>
      </w:r>
    </w:p>
    <w:p>
      <w:pPr>
        <w:ind w:firstLine="0" w:firstLineChars="0"/>
      </w:pPr>
      <w:r>
        <w:drawing>
          <wp:inline distT="0" distB="0" distL="0" distR="0">
            <wp:extent cx="4316730" cy="1883410"/>
            <wp:effectExtent l="19050" t="19050" r="26670" b="2159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24005" cy="188661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重新生成报表</w:t>
      </w:r>
    </w:p>
    <w:p>
      <w:pPr>
        <w:pStyle w:val="4"/>
        <w:widowControl/>
        <w:ind w:left="720" w:hanging="720"/>
        <w:jc w:val="left"/>
      </w:pPr>
      <w:bookmarkStart w:id="104" w:name="_Toc24296773"/>
      <w:bookmarkStart w:id="105" w:name="_Toc26091518"/>
      <w:bookmarkStart w:id="106" w:name="_Toc403462906"/>
      <w:bookmarkStart w:id="107" w:name="_Toc498093377"/>
      <w:bookmarkStart w:id="108" w:name="_Toc497988212"/>
      <w:r>
        <w:rPr>
          <w:rFonts w:hint="eastAsia"/>
        </w:rPr>
        <w:t>评标结束</w:t>
      </w:r>
      <w:bookmarkEnd w:id="104"/>
      <w:bookmarkEnd w:id="105"/>
      <w:bookmarkEnd w:id="106"/>
      <w:bookmarkEnd w:id="107"/>
      <w:bookmarkEnd w:id="108"/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点击导航栏【评审结果】→【评标结束】，功能区刷新显示出 【重评表决】和【评标结束】页面。如下图：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4970" cy="1611630"/>
            <wp:effectExtent l="0" t="0" r="11430" b="1270"/>
            <wp:docPr id="7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评标结束</w:t>
      </w:r>
    </w:p>
    <w:p>
      <w:pPr>
        <w:ind w:firstLine="422"/>
        <w:rPr>
          <w:rFonts w:ascii="宋体" w:hAnsi="宋体"/>
          <w:szCs w:val="28"/>
        </w:rPr>
      </w:pPr>
      <w:r>
        <w:rPr>
          <w:rFonts w:hint="eastAsia" w:ascii="宋体" w:hAnsi="宋体"/>
          <w:b/>
          <w:bCs/>
          <w:szCs w:val="28"/>
        </w:rPr>
        <w:t>注意：</w:t>
      </w:r>
      <w:r>
        <w:rPr>
          <w:rFonts w:hint="eastAsia" w:ascii="宋体" w:hAnsi="宋体"/>
          <w:szCs w:val="28"/>
        </w:rPr>
        <w:t>此界面只有评标组长可见。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/>
        </w:rPr>
        <w:t>专家组长点击【重评表决】经全部专家表决后对项目进行重新评审。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评委组长点击【评标结束】按钮确认评标工作完成。</w:t>
      </w:r>
    </w:p>
    <w:p>
      <w:pPr>
        <w:pStyle w:val="3"/>
        <w:widowControl/>
        <w:spacing w:line="416" w:lineRule="auto"/>
        <w:ind w:left="576" w:hanging="576"/>
        <w:jc w:val="left"/>
      </w:pPr>
      <w:bookmarkStart w:id="109" w:name="_Toc497988213"/>
      <w:bookmarkStart w:id="110" w:name="_Toc498093378"/>
      <w:bookmarkStart w:id="111" w:name="_Toc24296774"/>
      <w:bookmarkStart w:id="112" w:name="_Toc403142221"/>
      <w:bookmarkStart w:id="113" w:name="_Toc403462907"/>
      <w:bookmarkStart w:id="114" w:name="_Toc26091519"/>
      <w:r>
        <w:rPr>
          <w:rFonts w:hint="eastAsia"/>
        </w:rPr>
        <w:t>辅助功能介绍</w:t>
      </w:r>
      <w:bookmarkEnd w:id="109"/>
      <w:bookmarkEnd w:id="110"/>
      <w:bookmarkEnd w:id="111"/>
      <w:bookmarkEnd w:id="112"/>
      <w:bookmarkEnd w:id="113"/>
      <w:bookmarkEnd w:id="114"/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辅助功能通过在页面右侧导航栏功能按钮进入，包括：查看评标纪律、查看开标结果、资格审查报表、查看采购文件、查看响应文件、废标（组长）、无效标管理、计算器、项目进展（组长）。如下图：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199890" cy="1990725"/>
            <wp:effectExtent l="0" t="0" r="3810" b="3175"/>
            <wp:docPr id="7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专家组长辅助功能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3065" cy="2019935"/>
            <wp:effectExtent l="0" t="0" r="635" b="12065"/>
            <wp:docPr id="7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专家辅助功能</w:t>
      </w:r>
    </w:p>
    <w:p>
      <w:pPr>
        <w:pStyle w:val="4"/>
        <w:widowControl/>
        <w:ind w:left="720" w:hanging="720"/>
        <w:jc w:val="left"/>
      </w:pPr>
      <w:bookmarkStart w:id="115" w:name="_Toc24296775"/>
      <w:bookmarkStart w:id="116" w:name="_Toc403142222"/>
      <w:bookmarkStart w:id="117" w:name="_Toc497988214"/>
      <w:bookmarkStart w:id="118" w:name="_Toc403462908"/>
      <w:bookmarkStart w:id="119" w:name="_Toc498093379"/>
      <w:bookmarkStart w:id="120" w:name="_Toc26091520"/>
      <w:r>
        <w:rPr>
          <w:rFonts w:hint="eastAsia"/>
        </w:rPr>
        <w:t>查看</w:t>
      </w:r>
      <w:bookmarkEnd w:id="115"/>
      <w:bookmarkEnd w:id="116"/>
      <w:bookmarkEnd w:id="117"/>
      <w:bookmarkEnd w:id="118"/>
      <w:bookmarkEnd w:id="119"/>
      <w:bookmarkEnd w:id="120"/>
      <w:r>
        <w:rPr>
          <w:rFonts w:hint="eastAsia"/>
        </w:rPr>
        <w:t>评标纪律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点击页面右侧导航栏【查看评标纪律】按钮进入查看页面。如下图：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197985" cy="1892300"/>
            <wp:effectExtent l="0" t="0" r="5715" b="0"/>
            <wp:docPr id="6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查看</w:t>
      </w:r>
      <w:r>
        <w:rPr>
          <w:rFonts w:hint="eastAsia"/>
          <w:szCs w:val="28"/>
        </w:rPr>
        <w:t>评标纪律</w:t>
      </w:r>
    </w:p>
    <w:p>
      <w:pPr>
        <w:pStyle w:val="4"/>
        <w:widowControl/>
        <w:ind w:left="720" w:hanging="720"/>
        <w:jc w:val="left"/>
      </w:pPr>
      <w:bookmarkStart w:id="121" w:name="_Toc498093380"/>
      <w:bookmarkStart w:id="122" w:name="_Toc24296776"/>
      <w:bookmarkStart w:id="123" w:name="_Toc26091521"/>
      <w:r>
        <w:rPr>
          <w:rFonts w:hint="eastAsia"/>
        </w:rPr>
        <w:t>查看</w:t>
      </w:r>
      <w:bookmarkEnd w:id="121"/>
      <w:bookmarkEnd w:id="122"/>
      <w:bookmarkEnd w:id="123"/>
      <w:r>
        <w:rPr>
          <w:rFonts w:hint="eastAsia"/>
        </w:rPr>
        <w:t>开标结果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点击页面右侧导航栏【查看开标结果】按钮进入查看页面，方便评委查看开标情况记录表。如下图：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199890" cy="1804035"/>
            <wp:effectExtent l="0" t="0" r="3810" b="12065"/>
            <wp:docPr id="6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查看开标结果</w:t>
      </w:r>
    </w:p>
    <w:p>
      <w:pPr>
        <w:pStyle w:val="4"/>
        <w:widowControl/>
        <w:ind w:left="720" w:hanging="720"/>
        <w:jc w:val="left"/>
      </w:pPr>
      <w:r>
        <w:rPr>
          <w:rFonts w:hint="eastAsia"/>
        </w:rPr>
        <w:t>查看资格审查报表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点击页面右侧导航栏【查看资格审查报表】按钮进入查看页面，方便评委查看资格审查报表。如下图：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199890" cy="2018665"/>
            <wp:effectExtent l="0" t="0" r="3810" b="635"/>
            <wp:docPr id="6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查看</w:t>
      </w:r>
      <w:r>
        <w:rPr>
          <w:rFonts w:hint="eastAsia"/>
          <w:szCs w:val="28"/>
        </w:rPr>
        <w:t>资格审查报表</w:t>
      </w:r>
    </w:p>
    <w:p>
      <w:pPr>
        <w:ind w:firstLine="420"/>
      </w:pPr>
    </w:p>
    <w:p>
      <w:pPr>
        <w:ind w:firstLine="420"/>
      </w:pPr>
    </w:p>
    <w:p>
      <w:pPr>
        <w:pStyle w:val="4"/>
        <w:widowControl/>
        <w:ind w:left="720" w:hanging="720"/>
        <w:jc w:val="left"/>
      </w:pPr>
      <w:r>
        <w:rPr>
          <w:rFonts w:hint="eastAsia"/>
        </w:rPr>
        <w:t>查看采购文件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点击页面右侧导航栏【查看采购文件】按钮进入查看页面。如下图：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199890" cy="1873885"/>
            <wp:effectExtent l="0" t="0" r="3810" b="5715"/>
            <wp:docPr id="6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查看采购文件</w:t>
      </w:r>
    </w:p>
    <w:p>
      <w:pPr>
        <w:ind w:firstLine="420"/>
      </w:pPr>
    </w:p>
    <w:p>
      <w:pPr>
        <w:pStyle w:val="4"/>
        <w:widowControl/>
        <w:ind w:left="720" w:hanging="720"/>
        <w:jc w:val="left"/>
      </w:pPr>
      <w:r>
        <w:rPr>
          <w:rFonts w:hint="eastAsia"/>
        </w:rPr>
        <w:t>查看响应文件</w:t>
      </w:r>
    </w:p>
    <w:p>
      <w:pPr>
        <w:ind w:firstLine="420"/>
      </w:pPr>
      <w:r>
        <w:rPr>
          <w:rFonts w:hint="eastAsia" w:ascii="宋体" w:hAnsi="宋体"/>
          <w:szCs w:val="28"/>
        </w:rPr>
        <w:t>点击页面右侧导航栏【查看响应文件】按钮进入查看页面。如下图：</w:t>
      </w:r>
      <w:r>
        <w:drawing>
          <wp:inline distT="0" distB="0" distL="114300" distR="114300">
            <wp:extent cx="4199255" cy="1725295"/>
            <wp:effectExtent l="0" t="0" r="4445" b="1905"/>
            <wp:docPr id="6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查看响应文件</w:t>
      </w:r>
    </w:p>
    <w:p>
      <w:pPr>
        <w:ind w:firstLine="420"/>
      </w:pPr>
    </w:p>
    <w:p>
      <w:pPr>
        <w:pStyle w:val="4"/>
        <w:widowControl/>
        <w:ind w:left="720" w:hanging="720"/>
        <w:jc w:val="left"/>
      </w:pPr>
      <w:bookmarkStart w:id="124" w:name="_Toc497988215"/>
      <w:bookmarkStart w:id="125" w:name="_Toc24296777"/>
      <w:bookmarkStart w:id="126" w:name="_Toc498093383"/>
      <w:bookmarkStart w:id="127" w:name="_Toc26091522"/>
      <w:r>
        <w:rPr>
          <w:rFonts w:hint="eastAsia"/>
        </w:rPr>
        <w:t>废标</w:t>
      </w:r>
      <w:bookmarkEnd w:id="124"/>
      <w:bookmarkEnd w:id="125"/>
      <w:bookmarkEnd w:id="126"/>
      <w:bookmarkEnd w:id="127"/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评审过程中如没有符合单位，专家组长可对项目进行废标操作。如下图：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4335" cy="1830705"/>
            <wp:effectExtent l="0" t="0" r="12065" b="10795"/>
            <wp:docPr id="6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废标</w:t>
      </w:r>
    </w:p>
    <w:p>
      <w:pPr>
        <w:pStyle w:val="4"/>
        <w:widowControl/>
        <w:ind w:left="720" w:hanging="720"/>
        <w:jc w:val="left"/>
      </w:pPr>
      <w:bookmarkStart w:id="128" w:name="_Toc498093384"/>
      <w:bookmarkStart w:id="129" w:name="_Toc497988216"/>
      <w:bookmarkStart w:id="130" w:name="_Toc26091523"/>
      <w:bookmarkStart w:id="131" w:name="_Toc24296778"/>
      <w:r>
        <w:rPr>
          <w:rFonts w:hint="eastAsia"/>
        </w:rPr>
        <w:t>无效标管理</w:t>
      </w:r>
      <w:bookmarkEnd w:id="128"/>
      <w:bookmarkEnd w:id="129"/>
      <w:bookmarkEnd w:id="130"/>
      <w:bookmarkEnd w:id="131"/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在评审过程中，投标单位出现具有废标条款中包含的情况，可手动勾选废标。如下图：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0" distR="0">
            <wp:extent cx="4385310" cy="1913255"/>
            <wp:effectExtent l="19050" t="19050" r="15240" b="1079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91242" cy="1915947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无效标管理</w:t>
      </w:r>
    </w:p>
    <w:p>
      <w:pPr>
        <w:pStyle w:val="4"/>
        <w:widowControl/>
        <w:ind w:left="720" w:hanging="720"/>
        <w:jc w:val="left"/>
      </w:pPr>
      <w:r>
        <w:rPr>
          <w:rFonts w:hint="eastAsia"/>
        </w:rPr>
        <w:t>特征码识别</w:t>
      </w:r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在评审过程中，可查看投标单位标书制作硬件识别码详细信息。如下图：</w:t>
      </w:r>
    </w:p>
    <w:p>
      <w:pPr>
        <w:ind w:firstLine="0" w:firstLineChars="0"/>
        <w:jc w:val="center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198620" cy="1847850"/>
            <wp:effectExtent l="0" t="0" r="5080" b="6350"/>
            <wp:docPr id="6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特征码识别</w:t>
      </w:r>
    </w:p>
    <w:p>
      <w:pPr>
        <w:ind w:firstLine="420"/>
      </w:pPr>
    </w:p>
    <w:p>
      <w:pPr>
        <w:pStyle w:val="4"/>
        <w:widowControl/>
        <w:ind w:left="720" w:hanging="720"/>
        <w:jc w:val="left"/>
      </w:pPr>
      <w:bookmarkStart w:id="132" w:name="_Toc403142233"/>
      <w:bookmarkStart w:id="133" w:name="_Toc403462912"/>
      <w:bookmarkStart w:id="134" w:name="_Toc497988217"/>
      <w:bookmarkStart w:id="135" w:name="_Toc498093385"/>
      <w:bookmarkStart w:id="136" w:name="_Toc24296779"/>
      <w:bookmarkStart w:id="137" w:name="_Toc26091524"/>
      <w:r>
        <w:rPr>
          <w:rFonts w:hint="eastAsia"/>
        </w:rPr>
        <w:t>计算器</w:t>
      </w:r>
      <w:bookmarkEnd w:id="132"/>
      <w:bookmarkEnd w:id="133"/>
      <w:bookmarkEnd w:id="134"/>
      <w:bookmarkEnd w:id="135"/>
      <w:bookmarkEnd w:id="136"/>
      <w:bookmarkEnd w:id="137"/>
    </w:p>
    <w:p>
      <w:pPr>
        <w:ind w:firstLine="420"/>
        <w:rPr>
          <w:rFonts w:ascii="宋体" w:hAnsi="宋体"/>
          <w:szCs w:val="28"/>
        </w:rPr>
      </w:pPr>
      <w:r>
        <w:rPr>
          <w:rFonts w:hint="eastAsia" w:ascii="宋体" w:hAnsi="宋体"/>
          <w:szCs w:val="28"/>
        </w:rPr>
        <w:t>点击【计算器】图标，快速启动电脑自带的计算器软件。如下图：</w:t>
      </w:r>
    </w:p>
    <w:p>
      <w:pPr>
        <w:ind w:firstLine="0" w:firstLineChars="0"/>
        <w:rPr>
          <w:rFonts w:asciiTheme="majorEastAsia" w:hAnsiTheme="majorEastAsia" w:eastAsiaTheme="majorEastAsia"/>
          <w:szCs w:val="28"/>
        </w:rPr>
      </w:pPr>
      <w:r>
        <w:drawing>
          <wp:inline distT="0" distB="0" distL="114300" distR="114300">
            <wp:extent cx="4202430" cy="1950720"/>
            <wp:effectExtent l="0" t="0" r="1270" b="5080"/>
            <wp:docPr id="7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计算器</w:t>
      </w:r>
    </w:p>
    <w:p>
      <w:pPr>
        <w:pStyle w:val="4"/>
        <w:widowControl/>
        <w:ind w:left="720" w:hanging="720"/>
        <w:jc w:val="left"/>
      </w:pPr>
      <w:r>
        <w:rPr>
          <w:rFonts w:hint="eastAsia"/>
        </w:rPr>
        <w:t>项目进度</w:t>
      </w:r>
    </w:p>
    <w:p>
      <w:pPr>
        <w:ind w:firstLine="420"/>
      </w:pPr>
      <w:r>
        <w:rPr>
          <w:rFonts w:hint="eastAsia"/>
        </w:rPr>
        <w:t>专家组长点击【项目进度】图标，可以查看当前项目进度，如下图：</w:t>
      </w:r>
    </w:p>
    <w:p>
      <w:pPr>
        <w:ind w:firstLine="420"/>
      </w:pPr>
      <w:r>
        <w:drawing>
          <wp:inline distT="0" distB="0" distL="114300" distR="114300">
            <wp:extent cx="4207510" cy="1809750"/>
            <wp:effectExtent l="0" t="0" r="8890" b="6350"/>
            <wp:docPr id="7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20"/>
      </w:pPr>
      <w:r>
        <w:rPr>
          <w:rFonts w:hint="eastAsia"/>
        </w:rPr>
        <w:t>项目进度</w:t>
      </w:r>
      <w:bookmarkStart w:id="138" w:name="_GoBack"/>
      <w:bookmarkEnd w:id="138"/>
    </w:p>
    <w:sectPr>
      <w:pgSz w:w="8419" w:h="11906" w:orient="landscape"/>
      <w:pgMar w:top="851" w:right="828" w:bottom="851" w:left="822" w:header="284" w:footer="284" w:gutter="142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026F19"/>
    <w:multiLevelType w:val="multilevel"/>
    <w:tmpl w:val="16026F19"/>
    <w:lvl w:ilvl="0" w:tentative="0">
      <w:start w:val="1"/>
      <w:numFmt w:val="decimal"/>
      <w:pStyle w:val="2"/>
      <w:lvlText w:val="%1"/>
      <w:lvlJc w:val="left"/>
      <w:pPr>
        <w:ind w:left="0" w:firstLine="0"/>
      </w:pPr>
      <w:rPr>
        <w:rFonts w:hint="eastAsia" w:ascii="黑体" w:hAnsi="黑体" w:eastAsia="黑体"/>
        <w:b/>
        <w:i w:val="0"/>
        <w:sz w:val="44"/>
      </w:rPr>
    </w:lvl>
    <w:lvl w:ilvl="1" w:tentative="0">
      <w:start w:val="1"/>
      <w:numFmt w:val="decimal"/>
      <w:pStyle w:val="3"/>
      <w:suff w:val="nothing"/>
      <w:lvlText w:val="%1.%2"/>
      <w:lvlJc w:val="left"/>
      <w:pPr>
        <w:ind w:left="0" w:firstLine="0"/>
      </w:pPr>
      <w:rPr>
        <w:rFonts w:hint="eastAsia" w:eastAsia="黑体"/>
        <w:b/>
        <w:i w:val="0"/>
        <w:sz w:val="36"/>
      </w:rPr>
    </w:lvl>
    <w:lvl w:ilvl="2" w:tentative="0">
      <w:start w:val="1"/>
      <w:numFmt w:val="decimal"/>
      <w:pStyle w:val="4"/>
      <w:lvlText w:val="%1.%2.%3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3" w:tentative="0">
      <w:start w:val="1"/>
      <w:numFmt w:val="decimal"/>
      <w:pStyle w:val="5"/>
      <w:suff w:val="nothing"/>
      <w:lvlText w:val="%1.%2.%3.%4"/>
      <w:lvlJc w:val="left"/>
      <w:pPr>
        <w:ind w:left="0" w:firstLine="0"/>
      </w:pPr>
      <w:rPr>
        <w:rFonts w:hint="eastAsia" w:eastAsia="黑体"/>
        <w:b/>
        <w:i w:val="0"/>
        <w:sz w:val="30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decimal"/>
      <w:pStyle w:val="7"/>
      <w:suff w:val="nothing"/>
      <w:lvlText w:val="%1.%2.%3.%4.%5.%6"/>
      <w:lvlJc w:val="left"/>
      <w:pPr>
        <w:ind w:left="0" w:firstLine="0"/>
      </w:pPr>
      <w:rPr>
        <w:rFonts w:hint="eastAsia" w:eastAsia="黑体"/>
        <w:b w:val="0"/>
        <w:i w:val="0"/>
        <w:sz w:val="28"/>
      </w:rPr>
    </w:lvl>
    <w:lvl w:ilvl="6" w:tentative="0">
      <w:start w:val="1"/>
      <w:numFmt w:val="decimal"/>
      <w:pStyle w:val="8"/>
      <w:lvlText w:val="%1.%2.%3.%4.%5.%6.%7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7" w:tentative="0">
      <w:start w:val="1"/>
      <w:numFmt w:val="decimal"/>
      <w:pStyle w:val="9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>
    <w:nsid w:val="2EBC2E4E"/>
    <w:multiLevelType w:val="multilevel"/>
    <w:tmpl w:val="2EBC2E4E"/>
    <w:lvl w:ilvl="0" w:tentative="0">
      <w:start w:val="1"/>
      <w:numFmt w:val="chineseCountingThousand"/>
      <w:pStyle w:val="28"/>
      <w:suff w:val="nothing"/>
      <w:lvlText w:val="第%1步:"/>
      <w:lvlJc w:val="left"/>
      <w:pPr>
        <w:ind w:left="988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bordersDoNotSurroundHeader w:val="1"/>
  <w:bordersDoNotSurroundFooter w:val="1"/>
  <w:documentProtection w:enforcement="0"/>
  <w:defaultTabStop w:val="420"/>
  <w:bookFoldPrinting w:val="1"/>
  <w:bookFoldPrintingSheets w:val="-4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1ZTg3Mjk4YzQ1ZGI4Mjc3NTY3ZjUxMjE2MzZjMDQifQ=="/>
  </w:docVars>
  <w:rsids>
    <w:rsidRoot w:val="00464DD5"/>
    <w:rsid w:val="000229CF"/>
    <w:rsid w:val="00025252"/>
    <w:rsid w:val="001A4383"/>
    <w:rsid w:val="001B6F00"/>
    <w:rsid w:val="001B6FF0"/>
    <w:rsid w:val="001C5EFE"/>
    <w:rsid w:val="002311BC"/>
    <w:rsid w:val="002E35F1"/>
    <w:rsid w:val="003B40BC"/>
    <w:rsid w:val="003C3304"/>
    <w:rsid w:val="004052D6"/>
    <w:rsid w:val="0042710E"/>
    <w:rsid w:val="00431057"/>
    <w:rsid w:val="00453D74"/>
    <w:rsid w:val="00464DD5"/>
    <w:rsid w:val="00542845"/>
    <w:rsid w:val="005E18FF"/>
    <w:rsid w:val="006413DD"/>
    <w:rsid w:val="007111C3"/>
    <w:rsid w:val="00881C9C"/>
    <w:rsid w:val="008D4AF7"/>
    <w:rsid w:val="008E4A91"/>
    <w:rsid w:val="00910801"/>
    <w:rsid w:val="00913722"/>
    <w:rsid w:val="00924BFE"/>
    <w:rsid w:val="0092636B"/>
    <w:rsid w:val="00987924"/>
    <w:rsid w:val="00995BC3"/>
    <w:rsid w:val="00A1355A"/>
    <w:rsid w:val="00A644E8"/>
    <w:rsid w:val="00BA1A46"/>
    <w:rsid w:val="00C77F34"/>
    <w:rsid w:val="00CD6CDC"/>
    <w:rsid w:val="00D1418E"/>
    <w:rsid w:val="00DD3EA4"/>
    <w:rsid w:val="00E21307"/>
    <w:rsid w:val="00F76AD5"/>
    <w:rsid w:val="00FA2A95"/>
    <w:rsid w:val="00FF3C31"/>
    <w:rsid w:val="0E6A7ACB"/>
    <w:rsid w:val="15CA0FF7"/>
    <w:rsid w:val="44964F85"/>
    <w:rsid w:val="60F04680"/>
    <w:rsid w:val="75AC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numPr>
        <w:ilvl w:val="0"/>
        <w:numId w:val="1"/>
      </w:numPr>
      <w:spacing w:line="578" w:lineRule="auto"/>
      <w:ind w:firstLineChars="0"/>
      <w:outlineLvl w:val="0"/>
    </w:pPr>
    <w:rPr>
      <w:rFonts w:ascii="宋体" w:hAnsi="宋体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qFormat/>
    <w:uiPriority w:val="9"/>
    <w:pPr>
      <w:keepNext/>
      <w:keepLines/>
      <w:numPr>
        <w:ilvl w:val="1"/>
        <w:numId w:val="1"/>
      </w:numPr>
      <w:spacing w:before="260" w:after="260" w:line="415" w:lineRule="auto"/>
      <w:ind w:firstLineChars="0"/>
      <w:outlineLvl w:val="1"/>
    </w:pPr>
    <w:rPr>
      <w:rFonts w:ascii="黑体" w:hAnsi="黑体" w:eastAsia="黑体"/>
      <w:b/>
      <w:bCs/>
      <w:sz w:val="36"/>
      <w:szCs w:val="36"/>
    </w:rPr>
  </w:style>
  <w:style w:type="paragraph" w:styleId="4">
    <w:name w:val="heading 3"/>
    <w:basedOn w:val="1"/>
    <w:next w:val="1"/>
    <w:link w:val="21"/>
    <w:qFormat/>
    <w:uiPriority w:val="9"/>
    <w:pPr>
      <w:keepNext/>
      <w:keepLines/>
      <w:numPr>
        <w:ilvl w:val="2"/>
        <w:numId w:val="1"/>
      </w:numPr>
      <w:spacing w:before="260" w:after="260" w:line="415" w:lineRule="auto"/>
      <w:ind w:firstLineChars="0"/>
      <w:outlineLvl w:val="2"/>
    </w:pPr>
    <w:rPr>
      <w:rFonts w:ascii="宋体" w:hAnsi="宋体" w:eastAsia="黑体"/>
      <w:b/>
      <w:bCs/>
      <w:sz w:val="32"/>
      <w:szCs w:val="32"/>
    </w:rPr>
  </w:style>
  <w:style w:type="paragraph" w:styleId="5">
    <w:name w:val="heading 4"/>
    <w:basedOn w:val="1"/>
    <w:next w:val="1"/>
    <w:link w:val="22"/>
    <w:unhideWhenUsed/>
    <w:qFormat/>
    <w:uiPriority w:val="0"/>
    <w:pPr>
      <w:keepNext/>
      <w:keepLines/>
      <w:numPr>
        <w:ilvl w:val="3"/>
        <w:numId w:val="1"/>
      </w:numPr>
      <w:spacing w:before="280" w:after="290" w:line="377" w:lineRule="auto"/>
      <w:ind w:firstLineChars="0"/>
      <w:outlineLvl w:val="3"/>
    </w:pPr>
    <w:rPr>
      <w:rFonts w:ascii="宋体" w:hAnsi="宋体" w:eastAsia="黑体"/>
      <w:b/>
      <w:bCs/>
      <w:sz w:val="30"/>
      <w:szCs w:val="30"/>
    </w:rPr>
  </w:style>
  <w:style w:type="paragraph" w:styleId="6">
    <w:name w:val="heading 5"/>
    <w:basedOn w:val="1"/>
    <w:next w:val="1"/>
    <w:link w:val="23"/>
    <w:unhideWhenUsed/>
    <w:qFormat/>
    <w:uiPriority w:val="9"/>
    <w:pPr>
      <w:keepNext/>
      <w:keepLines/>
      <w:numPr>
        <w:ilvl w:val="4"/>
        <w:numId w:val="1"/>
      </w:numPr>
      <w:spacing w:before="280" w:after="290" w:line="377" w:lineRule="auto"/>
      <w:ind w:firstLineChars="0"/>
      <w:outlineLvl w:val="4"/>
    </w:pPr>
    <w:rPr>
      <w:rFonts w:ascii="黑体" w:hAnsi="黑体" w:eastAsia="黑体"/>
      <w:b/>
      <w:bCs/>
      <w:sz w:val="28"/>
      <w:szCs w:val="28"/>
    </w:rPr>
  </w:style>
  <w:style w:type="paragraph" w:styleId="7">
    <w:name w:val="heading 6"/>
    <w:basedOn w:val="1"/>
    <w:next w:val="1"/>
    <w:link w:val="24"/>
    <w:unhideWhenUsed/>
    <w:qFormat/>
    <w:uiPriority w:val="9"/>
    <w:pPr>
      <w:keepNext/>
      <w:keepLines/>
      <w:numPr>
        <w:ilvl w:val="5"/>
        <w:numId w:val="1"/>
      </w:numPr>
      <w:spacing w:before="240" w:after="64" w:line="319" w:lineRule="auto"/>
      <w:ind w:firstLineChars="0"/>
      <w:outlineLvl w:val="5"/>
    </w:pPr>
    <w:rPr>
      <w:rFonts w:ascii="Cambria" w:hAnsi="Cambria" w:eastAsia="黑体"/>
      <w:bCs/>
      <w:sz w:val="28"/>
    </w:rPr>
  </w:style>
  <w:style w:type="paragraph" w:styleId="8">
    <w:name w:val="heading 7"/>
    <w:basedOn w:val="1"/>
    <w:next w:val="1"/>
    <w:link w:val="25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rFonts w:eastAsia="黑体"/>
      <w:bCs/>
      <w:sz w:val="28"/>
    </w:rPr>
  </w:style>
  <w:style w:type="paragraph" w:styleId="9">
    <w:name w:val="heading 8"/>
    <w:basedOn w:val="1"/>
    <w:next w:val="1"/>
    <w:link w:val="26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="Cambria" w:hAnsi="Cambria" w:eastAsia="黑体"/>
      <w:sz w:val="28"/>
    </w:rPr>
  </w:style>
  <w:style w:type="paragraph" w:styleId="10">
    <w:name w:val="heading 9"/>
    <w:basedOn w:val="1"/>
    <w:next w:val="1"/>
    <w:link w:val="27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firstLineChars="0"/>
      <w:outlineLvl w:val="8"/>
    </w:pPr>
    <w:rPr>
      <w:rFonts w:ascii="Cambria" w:hAnsi="Cambria"/>
      <w:szCs w:val="21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0"/>
    <w:pPr>
      <w:spacing w:line="360" w:lineRule="auto"/>
      <w:ind w:firstLine="0" w:firstLineChars="0"/>
      <w:jc w:val="center"/>
    </w:pPr>
    <w:rPr>
      <w:rFonts w:ascii="宋体" w:hAnsi="宋体"/>
      <w:color w:val="000000" w:themeColor="text1"/>
      <w:sz w:val="18"/>
      <w:szCs w:val="18"/>
      <w14:textFill>
        <w14:solidFill>
          <w14:schemeClr w14:val="tx1"/>
        </w14:solidFill>
      </w14:textFill>
    </w:rPr>
  </w:style>
  <w:style w:type="paragraph" w:styleId="12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 w:eastAsia="黑体" w:cs="Calibri"/>
      <w:bCs/>
      <w:caps/>
      <w:sz w:val="20"/>
      <w:szCs w:val="20"/>
    </w:rPr>
  </w:style>
  <w:style w:type="character" w:customStyle="1" w:styleId="17">
    <w:name w:val="页眉 Char"/>
    <w:basedOn w:val="16"/>
    <w:link w:val="13"/>
    <w:qFormat/>
    <w:uiPriority w:val="99"/>
    <w:rPr>
      <w:sz w:val="18"/>
      <w:szCs w:val="18"/>
    </w:rPr>
  </w:style>
  <w:style w:type="character" w:customStyle="1" w:styleId="18">
    <w:name w:val="页脚 Char"/>
    <w:basedOn w:val="16"/>
    <w:link w:val="12"/>
    <w:qFormat/>
    <w:uiPriority w:val="99"/>
    <w:rPr>
      <w:sz w:val="18"/>
      <w:szCs w:val="18"/>
    </w:rPr>
  </w:style>
  <w:style w:type="character" w:customStyle="1" w:styleId="19">
    <w:name w:val="标题 1 Char"/>
    <w:basedOn w:val="16"/>
    <w:link w:val="2"/>
    <w:qFormat/>
    <w:uiPriority w:val="9"/>
    <w:rPr>
      <w:rFonts w:ascii="宋体" w:hAnsi="宋体" w:eastAsia="黑体" w:cs="Times New Roman"/>
      <w:b/>
      <w:bCs/>
      <w:kern w:val="44"/>
      <w:sz w:val="44"/>
      <w:szCs w:val="44"/>
    </w:rPr>
  </w:style>
  <w:style w:type="character" w:customStyle="1" w:styleId="20">
    <w:name w:val="标题 2 Char"/>
    <w:basedOn w:val="16"/>
    <w:link w:val="3"/>
    <w:qFormat/>
    <w:uiPriority w:val="9"/>
    <w:rPr>
      <w:rFonts w:ascii="黑体" w:hAnsi="黑体" w:eastAsia="黑体" w:cs="Times New Roman"/>
      <w:b/>
      <w:bCs/>
      <w:sz w:val="36"/>
      <w:szCs w:val="36"/>
    </w:rPr>
  </w:style>
  <w:style w:type="character" w:customStyle="1" w:styleId="21">
    <w:name w:val="标题 3 Char"/>
    <w:basedOn w:val="16"/>
    <w:link w:val="4"/>
    <w:qFormat/>
    <w:uiPriority w:val="9"/>
    <w:rPr>
      <w:rFonts w:ascii="宋体" w:hAnsi="宋体" w:eastAsia="黑体" w:cs="Times New Roman"/>
      <w:b/>
      <w:bCs/>
      <w:sz w:val="32"/>
      <w:szCs w:val="32"/>
    </w:rPr>
  </w:style>
  <w:style w:type="character" w:customStyle="1" w:styleId="22">
    <w:name w:val="标题 4 Char"/>
    <w:basedOn w:val="16"/>
    <w:link w:val="5"/>
    <w:uiPriority w:val="0"/>
    <w:rPr>
      <w:rFonts w:ascii="宋体" w:hAnsi="宋体" w:eastAsia="黑体" w:cs="Times New Roman"/>
      <w:b/>
      <w:bCs/>
      <w:sz w:val="30"/>
      <w:szCs w:val="30"/>
    </w:rPr>
  </w:style>
  <w:style w:type="character" w:customStyle="1" w:styleId="23">
    <w:name w:val="标题 5 Char"/>
    <w:basedOn w:val="16"/>
    <w:link w:val="6"/>
    <w:uiPriority w:val="9"/>
    <w:rPr>
      <w:rFonts w:ascii="黑体" w:hAnsi="黑体" w:eastAsia="黑体" w:cs="Times New Roman"/>
      <w:b/>
      <w:bCs/>
      <w:sz w:val="28"/>
      <w:szCs w:val="28"/>
    </w:rPr>
  </w:style>
  <w:style w:type="character" w:customStyle="1" w:styleId="24">
    <w:name w:val="标题 6 Char"/>
    <w:basedOn w:val="16"/>
    <w:link w:val="7"/>
    <w:uiPriority w:val="9"/>
    <w:rPr>
      <w:rFonts w:ascii="Cambria" w:hAnsi="Cambria" w:eastAsia="黑体" w:cs="Times New Roman"/>
      <w:bCs/>
      <w:sz w:val="28"/>
      <w:szCs w:val="24"/>
    </w:rPr>
  </w:style>
  <w:style w:type="character" w:customStyle="1" w:styleId="25">
    <w:name w:val="标题 7 Char"/>
    <w:basedOn w:val="16"/>
    <w:link w:val="8"/>
    <w:uiPriority w:val="9"/>
    <w:rPr>
      <w:rFonts w:ascii="Times New Roman" w:hAnsi="Times New Roman" w:eastAsia="黑体" w:cs="Times New Roman"/>
      <w:bCs/>
      <w:sz w:val="28"/>
      <w:szCs w:val="24"/>
    </w:rPr>
  </w:style>
  <w:style w:type="character" w:customStyle="1" w:styleId="26">
    <w:name w:val="标题 8 Char"/>
    <w:basedOn w:val="16"/>
    <w:link w:val="9"/>
    <w:uiPriority w:val="9"/>
    <w:rPr>
      <w:rFonts w:ascii="Cambria" w:hAnsi="Cambria" w:eastAsia="黑体" w:cs="Times New Roman"/>
      <w:sz w:val="28"/>
      <w:szCs w:val="24"/>
    </w:rPr>
  </w:style>
  <w:style w:type="character" w:customStyle="1" w:styleId="27">
    <w:name w:val="标题 9 Char"/>
    <w:basedOn w:val="16"/>
    <w:link w:val="10"/>
    <w:uiPriority w:val="9"/>
    <w:rPr>
      <w:rFonts w:ascii="Cambria" w:hAnsi="Cambria" w:eastAsia="宋体" w:cs="Times New Roman"/>
      <w:szCs w:val="21"/>
    </w:rPr>
  </w:style>
  <w:style w:type="paragraph" w:customStyle="1" w:styleId="28">
    <w:name w:val="正文段落内容"/>
    <w:basedOn w:val="1"/>
    <w:link w:val="29"/>
    <w:qFormat/>
    <w:uiPriority w:val="0"/>
    <w:pPr>
      <w:widowControl/>
      <w:numPr>
        <w:ilvl w:val="0"/>
        <w:numId w:val="2"/>
      </w:numPr>
      <w:spacing w:line="360" w:lineRule="auto"/>
      <w:ind w:left="0" w:firstLine="198" w:firstLineChars="0"/>
      <w:jc w:val="left"/>
    </w:pPr>
    <w:rPr>
      <w:rFonts w:ascii="宋体" w:hAnsi="宋体"/>
      <w:bCs/>
      <w:kern w:val="0"/>
      <w:sz w:val="24"/>
      <w:lang w:val="zh-CN" w:bidi="en-US"/>
    </w:rPr>
  </w:style>
  <w:style w:type="character" w:customStyle="1" w:styleId="29">
    <w:name w:val="正文段落内容 Char"/>
    <w:link w:val="28"/>
    <w:uiPriority w:val="0"/>
    <w:rPr>
      <w:rFonts w:ascii="宋体" w:hAnsi="宋体" w:eastAsia="宋体" w:cs="Times New Roman"/>
      <w:bCs/>
      <w:kern w:val="0"/>
      <w:sz w:val="24"/>
      <w:szCs w:val="24"/>
      <w:lang w:val="zh-CN" w:eastAsia="zh-CN" w:bidi="en-US"/>
    </w:rPr>
  </w:style>
  <w:style w:type="paragraph" w:styleId="30">
    <w:name w:val="List Paragraph"/>
    <w:basedOn w:val="1"/>
    <w:link w:val="31"/>
    <w:qFormat/>
    <w:uiPriority w:val="34"/>
    <w:pPr>
      <w:spacing w:line="360" w:lineRule="auto"/>
      <w:ind w:firstLine="420"/>
    </w:pPr>
    <w:rPr>
      <w:rFonts w:ascii="Calibri" w:hAnsi="Calibri"/>
      <w:szCs w:val="22"/>
    </w:rPr>
  </w:style>
  <w:style w:type="character" w:customStyle="1" w:styleId="31">
    <w:name w:val="列出段落 Char"/>
    <w:link w:val="30"/>
    <w:qFormat/>
    <w:uiPriority w:val="34"/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40</Pages>
  <Words>4597</Words>
  <Characters>4601</Characters>
  <Lines>35</Lines>
  <Paragraphs>9</Paragraphs>
  <TotalTime>24</TotalTime>
  <ScaleCrop>false</ScaleCrop>
  <LinksUpToDate>false</LinksUpToDate>
  <CharactersWithSpaces>4609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2020-08-05T05:36:00Z</dcterms:created>
  <dc:creator>缪立帅(10027629)</dc:creator>
  <cp:lastModifiedBy>“  i.D....</cp:lastModifiedBy>
  <dcterms:modified xsi:type="dcterms:W3CDTF">2022-10-12T03:34:17Z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E89C54211CCF41779132015D5E50EDE0</vt:lpwstr>
  </property>
</Properties>
</file>